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CHCECE010 - Support the holistic development of children in early childhood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2015/08/06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2013/07/01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CHCECE035 - Support the holistic learning and development of children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Minor changes to unit content and assessment requirements for clarity and to reflect sector requirements.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2021/07/20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CHCFC301A - Support the development of children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This version was released in CHC Community Services Training Package release 1.0 and meets the requirements of the New Standards for Training Packages.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Significant changes to elements and performance criteria.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New evidence requirements for assessment including volume and frequency requirements.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2013/07/01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Community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2.0 - 9.3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School Age Education and Care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CHC30113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Early Childhood Education and Care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090503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Children’s Services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090503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Children’s Services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2013/11/01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2024/03/30 02:01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