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SITHCCC004B - Clean and maintain kitchen premises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SITHKOP101 - Clean kitchen premises and equipment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Title simplified. Unit has tighter focus on cleaning kitchens to avoid food safety issues. Some Performance Criteria removed which duplicated content of related unit SITHACS101 Clean premises and equipment. Re-worked Elements, Performance Criteria, Required Skills and Knowledge to more fully articulate content.Moved to new competency field - Kitchen Operations to better reflect the content of this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SITHCCC004A - Clean and maintain kitchen premises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 within Version 2 Unit updated to ensure coverage of skills for sustainability.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Foundations for Vocational and Further Study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2.3 - 3.0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MAR13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 (Patisserie)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 (Catering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 (Asian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 (Commercial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 (Patisserie)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 (Catering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 (Asian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 (Commercial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 (Asian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 (Kitchen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Hospitality (Kitchen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PSP30704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PSP30604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Maritime Operations (Marine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Health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2012/10/02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01:53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