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SIT10213 - Certificate I in Hospitality</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2013/10/11</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and equivalent to SIT10216 - Certificate I in Hospitality</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 Equivalent</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2016/03/03</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SIT10207 - Certificate I in Hospitality</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The SIT07 Tourism, Hospitality and Events Training Package and its component qualifications and units of competency were superseded by the release of the replacement SIT12 Tourism, Travel and Hospitality Training Package Version 1 on 18 January 2013.</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2013/10/11</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SIT10212 - Certificate I in Hospitality</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Intent of the qualification remains unchanged. </w:t>
                  </w:r>
                  <w:r>
                    <w:rPr>
                      <w:rFonts w:ascii="Arial" w:hAnsi="Arial" w:eastAsia="Arial"/>
                      <w:color w:val="000000"/>
                      <w:sz w:val="16"/>
                    </w:rPr>
                    <w:br/>
                    <w:t xml:space="preserve">SITHIND101 Use hygienic practices for hospitality service added to Group A Elective group.</w:t>
                  </w:r>
                  <w:r>
                    <w:rPr>
                      <w:rFonts w:ascii="Arial" w:hAnsi="Arial" w:eastAsia="Arial"/>
                      <w:color w:val="000000"/>
                      <w:sz w:val="16"/>
                    </w:rPr>
                    <w:br/>
                    <w:t xml:space="preserve">SITXFSA101 Use hygienic practices for food safety moved to Group A Elective group</w:t>
                  </w:r>
                  <w:r>
                    <w:rPr>
                      <w:rFonts w:ascii="Arial" w:hAnsi="Arial" w:eastAsia="Arial"/>
                      <w:color w:val="000000"/>
                      <w:sz w:val="16"/>
                    </w:rPr>
                    <w:br/>
                    <w:t xml:space="preserve">Core units reduced from 4 to 3 units. Elective units increased from 2 to 3 units.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2013/10/11</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7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SIT12</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Tourism, Travel and  Hospitality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BSBWOR202A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Organise and complete daily work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BSBWOR203B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others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CPPCLO1040A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for work in the cleaning industry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SITHACS101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premises and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food preparation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SITHCCC102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simple dishes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SITHCCC103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sandwiches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SITHCCC104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Package prepared foodstuffs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SITHFAB101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and tidy bar areas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SITHIND101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hygienic practices for hospitality service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SITHKOP101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kitchen premises and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SITXCCS101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information and assistance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SITXCOM101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Source and present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SITXFSA101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hygienic practices for food safety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SITXWHS101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safe work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TLIE1005A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Carry out basic workplace calculations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431000</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Hospitality Workers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1101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Food And Hospitality</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632</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Hospitality Workers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524</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Industry Sector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Hospitality</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Housekeeping Attendant, Kitchen Attendant, Kitchenhand, Bar Attendant</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431000</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Hospitality Workers</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2014/03/05</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632</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Hospitality Workers</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2014/03/05</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1101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Food And Hospitality</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2014/03/05</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524</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2013/10/11</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12:27 AM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