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SFIAQU209 - Carry out on-farm post-harvest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SFIAQUA215B - Carry out on-farm post-harvest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changes to elements and performance criteria for clarity.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Aquaculture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Aquaculture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