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FNS51420 - Diploma of Loss Adjusting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FNS51415 - Diploma of Loss Adjusting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FNSCUS505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client requirements and expectations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FNSFMK515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financial services regulation and industry codes of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FNSIGN404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damage and develop scope of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FNSILA506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specialist theft, money and fidelity loss adjusting advice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FNSILA507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specialist business interruption loss adjusting advice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FNSILA508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specialist liability loss adjusting advice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FNSILA509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specialist building loss adjusting advice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FNSILA510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specialist construction loss adjusting advice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FNSILA511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loss investigations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FNSILA512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collected information and report findings in loss adjusting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FNSILA514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Negotiate and affect settlement relating to loss situation, damage or injury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FNSISV405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insurance claims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599612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Insurance Loss Adjuster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Banking, Finance And Related Fields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Insurance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Insurance Assessor, Loss Adjuster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599612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Insurance Loss Adjuster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2021/03/10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Banking, Finance And Related Fields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2021/03/10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10:56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