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PSP60116 - Advanced Diploma of Government (Workplace inspection/ Investigations/Fraud control)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PSP60122 - Advanced Diploma of Government 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Non-equivalent.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Title changed.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Changes to core and electives units and packaging rules. Core units increased from six to seven.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Changes in Group A: Work Health and Safety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Changes in Workplace Inspection electives.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Imported units updated in electives.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Deleted units removed from qualification.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PSP60112 - Advanced Diploma of Government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 unit codes updated.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Imported units updated.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Influence and shape diversity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BSBLDR805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influence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BSBWHS601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legislative frameworks for WHS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POLINV005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multi-agency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PSPBDR015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PSPETH004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enhance confidence in public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PSPETH005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and influence ethical practice in the public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Anticipate and detect possible fraud activity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fraud control strategy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fraud risk assessment and action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fraud control awareness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fraud control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government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strategic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tender submission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Foster leadership and innovation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Persuade and influence opinion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high-level written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complex public sector financial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strategic financial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sector financial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public affairs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public affairs advisory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media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advisory and mediation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Formulate a strategic human resource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 in strategic human resource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PSPLEG004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compliance with legislation in the public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people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quality client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public sector financial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partnering arrangements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knowledge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strategic direction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enterprise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policy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policy advice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policy implementation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Influence strategic policy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regulatory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regulatory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lead inspection and monitoring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investigations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provision of high-level scientific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Influence innovation and change through extension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Initiate and conduct scientific/technological research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PSPSEC016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Define information systems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PSPSEC017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security awareness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Improve compliance through industry partnerships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complex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emerging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Represent and promote the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312611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Safety Inspector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Government Administration, Public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Investigations Manager (Public Sector), Senior Investigations Officer (Public Sector), Public Sector Manager, Fraud Control, Prevention and Detection Unit Manager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312611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Safety Inspector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02:15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