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928"/>
        <w:gridCol w:w="179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SISFFIT050 - Support exercise behaviour change</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2021/11/10</w:t>
                  </w:r>
                </w:p>
              </w:tc>
            </w:tr>
          </w:tbl>
          <w:p>
            <w:pPr>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Current</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SISFFIT016 - Provide motivation to positively influence exercise behaviour</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Non-equivalent. Title changed. Significant changes to structure and content of Elements and Performance Criteria.  Performance Evidence significantly amended with hours and client contact sessions removed, replaced integration of behaviour change into program planning and delivery for specified number of clients. Knowledge Evidence updated with significant additions and deletions.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2021/11/10</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705"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SIS</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Sport, Fitness and Recreation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5.0 - 6.0</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SIS40221</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Fitness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061307</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Health Promotion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061307</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Health Promotion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2021/12/15</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71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08:52 PM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