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TLISS00182 - Road Tunnel Operator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2020/06/12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TLISS00047 - Road Tunnel Operator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2016/02/29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6.0 - 14.0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HLTWHS006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personal stressors in the work environment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TLIF0012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coordinate accident-emergency procedures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TLIF4069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respond to traffic flow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TLIF4070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fire and life safety system within a tunnel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TLIF5020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emergencies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TLIK2010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infotechnology devices in the workplace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TLIU1009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plant and equipment in an environmentally sustainable manner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07:06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