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TLISS00056 - Travel Track Vehicle Under Block Working Conditions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2013/04/21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2012/02/02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2011/03/07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6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TLISS00139 - Travel Track Vehicle Under Block Working Conditions Skill Set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align with the Standards for Training Packages.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TRANSPORT AND LOGISTICS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3.0 - 4.2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TLIC0084A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Access rail track to travel track vehicles under manual block working conditions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TLIF2080C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Safely access the rail corridor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2024/03/30 02:04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