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TSLLAN403 - Facilitate English language teaching strategies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TSLLAN403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Facilitate English language teaching strategies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2017/04/30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2022/04/29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2017/04/30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2017/04/30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10632NAT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TESOL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12:00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