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1666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52685WA - Diploma of Sound and Vibration Therapy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Western Australian Training Accreditation Council (WA TAC)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2014/04/10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2017/04/30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WA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Western Australian Training Accreditation Council (WA TAC)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2017/04/30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2017/04/30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Ramon Lawrence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2014/04/10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2017/04/30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Ramondo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0894551187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0894553011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ramon@budokan.com.au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459 Nicholson Road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CANNING VALE WA 6155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sound and vibration therapy sessions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safe work practices in a sound and vibration therapy environment 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the principles of sound and vibration therapy to clients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sustain singing bowls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power gong and super didgeridoo sessions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Irapa instruction and mentoring to Level 1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BSBADM502B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meetings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nurture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BSBFIM501A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budgets and financial plans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enhance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BSBMGT405A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personal leadership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client relationships and business networks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BSBRKG502B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monitor business or records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SIRXGLC401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compliance with legislative requirements for the establishment of a retail business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SIRXMPR006A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promotional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SIRXPRO003A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product or service performance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SIRXSLS406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sales and service delivery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SIRXGLC401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compliance with legislative requirements for the establishment of a retail business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SIRXMPR006A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promotional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SIRXPRO003A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product or service performance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SIRXSLS406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sales and service delivery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sound and vibration therapy sessions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safe work practices in a sound and vibration therapy environment 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the principles of sound and vibration therapy to clients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sustain singing bowls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Irapa instruction and mentoring to Level 1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BSBADM502B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meetings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nurture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BSBFIM501A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budgets and financial plans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enhance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BSBMGT405A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personal leadership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client relationships and business networks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BSBRKG502B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monitor business or records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2014/04/10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ECHOES504A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power gong and super didgeridoo sessions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252299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Health Therapists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2399-79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Professionals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Therapies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252299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Health Therapists Nec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2399-79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Professionals Nec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Therapies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