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928"/>
        <w:gridCol w:w="179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SFLDEC201A - Assemble floristry products</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2011/06/29</w:t>
                  </w:r>
                </w:p>
              </w:tc>
            </w:tr>
          </w:tbl>
          <w:p>
            <w:pPr>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SFLDEC005 - Assemble floristry products</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Updated to meet Standards for Training Packages.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2015/09/25</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WRFO204B - Assemble and prepare floristry products</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 Updated unit based on WRFO204B and that unit is equivalent.  This updated unit builds upon WRFO204B and has more explicit references to the fundamental nature of the floristry products to be assembled, and the application of the unit to trainee or junior florists. The notion of working under supervision and to pre-determined job specifications has been clarified through re-wording of elements and performance criteria.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2011/06/29</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705"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SFL10</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Floristry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SFL20110</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 in Floristry (Assistant)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100309</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Floristry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100309</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Floristry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2011/11/18</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71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02:20 AM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