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10692NAT - Certificate IV in TESOL (Teaching English to Speakers of Other Languages)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2017/12/01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2023/01/31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was ended and the course replaced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Application to renew?: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Renewal application received: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Granted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This course is intended to provide participants with a range of knowledge, skills, generic and specific competencies to perform the following job role: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TESOL teachers in Australia and overseas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The new version of this course is 11146NAT - Certificate IV in Teaching English (TESOL)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2023/01/31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Accreditation period was ended and the course replaced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Original expiry 30/11/2022, TTC to 31/12/2022; TTC to 31/01/2023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2023/01/31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Granted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 Timothy Eckenfels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Chief Executive Officer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IH Sydney Training Services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0292790733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0292790733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teckenfels@ihsydney.com.au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Level 1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203 clarence Street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Sydney NSW 2000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Timothy Eckenfels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Chief Executive Officer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IH Sydney Training Services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0292790733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0292790733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teckenfels@ihsydney.com.au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Level 1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203 Clarence Street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Sydney NSW 2000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 Timothy Eckenfels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2017/12/01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Chief Executive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IH Sydney Training Services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0292790733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0292790733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teckenfels@ihsydney.com.au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Level 1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203 clarence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Sydney NSW 2000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Timothy Eckenfels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2017/12/01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Chief Executive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IH Sydney Training Services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0292790733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0292790733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teckenfels@ihsydney.com.au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Level 1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203 Clarence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Sydney NSW 2000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CTETGL001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grammar and lexis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CTETPS002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pronunciation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CTETSS003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speaking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CTETWS004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writing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CTETRS005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reading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CTETLS006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listening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diverse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TAEDEL401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organise and deliver group-based learning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CTETGL001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grammar and lexis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CTETPS002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pronunciation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CTETSS003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speaking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CTETWS004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writing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CTETRS005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reading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CTETLS006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 listening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diverse people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TAEDEL401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organise and deliver group-based learning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249311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Of English To Speakers Of Other Languages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249311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Of English To Speakers Of Other Languages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2017/12/01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07:29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