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170"/>
        <w:gridCol w:w="758"/>
        <w:gridCol w:w="1569"/>
        <w:gridCol w:w="22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HLTKIN403B - Apply kinesiology assessment framework</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2011/03/25</w:t>
                  </w:r>
                </w:p>
              </w:tc>
            </w:tr>
          </w:tbl>
          <w:p>
            <w:pPr>
              <w:spacing w:after="0" w:line="240" w:lineRule="auto"/>
            </w:pPr>
          </w:p>
        </w:tc>
        <w:tc>
          <w:tcPr>
            <w:tcW w:w="2512" w:type="dxa"/>
            <w:hMerge w:val="continue"/>
            <w:vMerge w:val="restart"/>
          </w:tcPr>
          <w:p>
            <w:pPr>
              <w:pStyle w:val="EmptyCellLayoutStyle"/>
              <w:spacing w:after="0" w:line="240" w:lineRule="auto"/>
            </w:pPr>
          </w:p>
        </w:tc>
        <w:tc>
          <w:tcPr>
            <w:tcW w:w="1170"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170"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0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170"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170"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1569" w:type="dxa"/>
            <w:hMerge w:val="continue"/>
            <w:vMerge w:val="restart"/>
          </w:tcPr>
          <w:p>
            <w:pPr>
              <w:pStyle w:val="EmptyCellLayoutStyle"/>
              <w:spacing w:after="0" w:line="240" w:lineRule="auto"/>
            </w:pPr>
          </w:p>
        </w:tc>
        <w:tc>
          <w:tcPr>
            <w:tcW w:w="22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HLTKIN003 - Perform kinesiology assessments</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version was released in HLT Health Training Package release 2.0 and meets the requirements of the 2012 Standards for Training Packages.</w:t>
                  </w:r>
                  <w:r>
                    <w:rPr>
                      <w:rFonts w:ascii="Arial" w:hAnsi="Arial" w:eastAsia="Arial"/>
                      <w:color w:val="000000"/>
                      <w:sz w:val="16"/>
                    </w:rPr>
                    <w:br/>
                  </w:r>
                  <w:r>
                    <w:rPr>
                      <w:rFonts w:ascii="Arial" w:hAnsi="Arial" w:eastAsia="Arial"/>
                      <w:color w:val="000000"/>
                      <w:sz w:val="16"/>
                    </w:rPr>
                    <w:br/>
                    <w:t xml:space="preserve">Merged HLTKIN402B/HLTKIN403B/HLTKIN404B/HLTKIN506B/HLTKIN507B/HLTKIN508B. Some content in HLTKIN002. Significant changes to the elements and performance criteria. New evidence requirements for assessment, including volume and frequency requirements. Significant change to knowledge evidence. Minimum clinic hours added. Additional assessor requirements.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2015/08/06</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265"/>
            </w:tblGrid>
            <w:tr>
              <w:trPr>
                <w:trHeight w:val="282" w:hRule="atLeast"/>
              </w:trPr>
              <w:tc>
                <w:tcPr>
                  <w:tcW w:w="72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Accredited courses that have this unit in the completion mapping</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8103"/>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10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10003NAT</w:t>
                  </w:r>
                </w:p>
              </w:tc>
              <w:tc>
                <w:tcPr>
                  <w:tcW w:w="810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Mind Body Medicine</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HLT07</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Health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4.0 - 5.1</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HLT42812</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Kinesiology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HLT42807</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5.png"/>
                        <a:graphic>
                          <a:graphicData uri="http://schemas.openxmlformats.org/drawingml/2006/picture">
                            <pic:pic>
                              <pic:nvPicPr>
                                <pic:cNvPr id="5"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Kinesiology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061999</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Complementary Therapies, N.e.c.          </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061999</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Complementary Therapies, N.e.c.          </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2011/11/04</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71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07:44 AM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