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40"/>
        <w:gridCol w:w="19"/>
        <w:gridCol w:w="20"/>
        <w:gridCol w:w="19"/>
        <w:gridCol w:w="20"/>
        <w:gridCol w:w="99"/>
        <w:gridCol w:w="2173"/>
        <w:gridCol w:w="112"/>
        <w:gridCol w:w="7"/>
        <w:gridCol w:w="520"/>
        <w:gridCol w:w="20"/>
        <w:gridCol w:w="20"/>
        <w:gridCol w:w="2906"/>
        <w:gridCol w:w="179"/>
        <w:gridCol w:w="35"/>
        <w:gridCol w:w="22"/>
        <w:gridCol w:w="473"/>
        <w:gridCol w:w="1979"/>
        <w:gridCol w:w="981"/>
        <w:gridCol w:w="50"/>
        <w:gridCol w:w="11"/>
        <w:gridCol w:w="20"/>
        <w:gridCol w:w="119"/>
      </w:tblGrid>
      <w:tr>
        <w:trPr>
          <w:trHeight w:val="101"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446"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Qualification details</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9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282"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CHC40212 - Certificate IV in Home and Community Care</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6"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41" w:hRule="atLeast"/>
        </w:trPr>
        <w:tc>
          <w:tcPr>
            <w:tcW w:w="99" w:type="dxa"/>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99" w:type="dxa"/>
            <w:tcBorders>
              <w:top w:val="single" w:color="00008B" w:sz="15"/>
            </w:tcBorders>
          </w:tcPr>
          <w:p>
            <w:pPr>
              <w:pStyle w:val="EmptyCellLayoutStyle"/>
              <w:spacing w:after="0" w:line="240" w:lineRule="auto"/>
            </w:pPr>
          </w:p>
        </w:tc>
        <w:tc>
          <w:tcPr>
            <w:tcW w:w="2173" w:type="dxa"/>
            <w:tcBorders>
              <w:top w:val="single" w:color="00008B" w:sz="15"/>
            </w:tcBorders>
          </w:tcPr>
          <w:p>
            <w:pPr>
              <w:pStyle w:val="EmptyCellLayoutStyle"/>
              <w:spacing w:after="0" w:line="240" w:lineRule="auto"/>
            </w:pPr>
          </w:p>
        </w:tc>
        <w:tc>
          <w:tcPr>
            <w:tcW w:w="112" w:type="dxa"/>
            <w:tcBorders>
              <w:top w:val="single" w:color="00008B" w:sz="15"/>
            </w:tcBorders>
          </w:tcPr>
          <w:p>
            <w:pPr>
              <w:pStyle w:val="EmptyCellLayoutStyle"/>
              <w:spacing w:after="0" w:line="240" w:lineRule="auto"/>
            </w:pPr>
          </w:p>
        </w:tc>
        <w:tc>
          <w:tcPr>
            <w:tcW w:w="7" w:type="dxa"/>
            <w:tcBorders>
              <w:top w:val="single" w:color="00008B" w:sz="15"/>
            </w:tcBorders>
          </w:tcPr>
          <w:p>
            <w:pPr>
              <w:pStyle w:val="EmptyCellLayoutStyle"/>
              <w:spacing w:after="0" w:line="240" w:lineRule="auto"/>
            </w:pPr>
          </w:p>
        </w:tc>
        <w:tc>
          <w:tcPr>
            <w:tcW w:w="5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906" w:type="dxa"/>
            <w:tcBorders>
              <w:top w:val="single" w:color="00008B" w:sz="15"/>
            </w:tcBorders>
          </w:tcPr>
          <w:p>
            <w:pPr>
              <w:pStyle w:val="EmptyCellLayoutStyle"/>
              <w:spacing w:after="0" w:line="240" w:lineRule="auto"/>
            </w:pPr>
          </w:p>
        </w:tc>
        <w:tc>
          <w:tcPr>
            <w:tcW w:w="179" w:type="dxa"/>
            <w:tcBorders>
              <w:top w:val="single" w:color="00008B" w:sz="15"/>
            </w:tcBorders>
          </w:tcPr>
          <w:p>
            <w:pPr>
              <w:pStyle w:val="EmptyCellLayoutStyle"/>
              <w:spacing w:after="0" w:line="240" w:lineRule="auto"/>
            </w:pPr>
          </w:p>
        </w:tc>
        <w:tc>
          <w:tcPr>
            <w:tcW w:w="35" w:type="dxa"/>
            <w:tcBorders>
              <w:top w:val="single" w:color="00008B" w:sz="15"/>
            </w:tcBorders>
          </w:tcPr>
          <w:p>
            <w:pPr>
              <w:pStyle w:val="EmptyCellLayoutStyle"/>
              <w:spacing w:after="0" w:line="240" w:lineRule="auto"/>
            </w:pPr>
          </w:p>
        </w:tc>
        <w:tc>
          <w:tcPr>
            <w:tcW w:w="22" w:type="dxa"/>
            <w:tcBorders>
              <w:top w:val="single" w:color="00008B" w:sz="15"/>
            </w:tcBorders>
          </w:tcPr>
          <w:p>
            <w:pPr>
              <w:pStyle w:val="EmptyCellLayoutStyle"/>
              <w:spacing w:after="0" w:line="240" w:lineRule="auto"/>
            </w:pPr>
          </w:p>
        </w:tc>
        <w:tc>
          <w:tcPr>
            <w:tcW w:w="473" w:type="dxa"/>
            <w:tcBorders>
              <w:top w:val="single" w:color="00008B" w:sz="15"/>
            </w:tcBorders>
          </w:tcPr>
          <w:p>
            <w:pPr>
              <w:pStyle w:val="EmptyCellLayoutStyle"/>
              <w:spacing w:after="0" w:line="240" w:lineRule="auto"/>
            </w:pPr>
          </w:p>
        </w:tc>
        <w:tc>
          <w:tcPr>
            <w:tcW w:w="1979" w:type="dxa"/>
            <w:tcBorders>
              <w:top w:val="single" w:color="00008B" w:sz="15"/>
            </w:tcBorders>
          </w:tcPr>
          <w:p>
            <w:pPr>
              <w:pStyle w:val="EmptyCellLayoutStyle"/>
              <w:spacing w:after="0" w:line="240" w:lineRule="auto"/>
            </w:pPr>
          </w:p>
        </w:tc>
        <w:tc>
          <w:tcPr>
            <w:tcW w:w="981" w:type="dxa"/>
            <w:tcBorders>
              <w:top w:val="single" w:color="00008B" w:sz="15"/>
            </w:tcBorders>
          </w:tcPr>
          <w:p>
            <w:pPr>
              <w:pStyle w:val="EmptyCellLayoutStyle"/>
              <w:spacing w:after="0" w:line="240" w:lineRule="auto"/>
            </w:pPr>
          </w:p>
        </w:tc>
        <w:tc>
          <w:tcPr>
            <w:tcW w:w="5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19" w:type="dxa"/>
            <w:tcBorders>
              <w:top w:val="single" w:color="00008B" w:sz="15"/>
            </w:tcBorders>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9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333"/>
            </w:tblGrid>
            <w:tr>
              <w:trPr>
                <w:trHeight w:val="237" w:hRule="atLeast"/>
              </w:trPr>
              <w:tc>
                <w:tcPr>
                  <w:tcW w:w="233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92"/>
              <w:gridCol w:w="1359"/>
              <w:gridCol w:w="1526"/>
            </w:tblGrid>
            <w:tr>
              <w:trPr>
                <w:trHeight w:val="238" w:hRule="atLeast"/>
              </w:trPr>
              <w:tc>
                <w:tcPr>
                  <w:tcW w:w="129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35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52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2012/05/07</w:t>
                  </w:r>
                </w:p>
              </w:tc>
            </w:tr>
          </w:tbl>
          <w:p>
            <w:pPr>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tcPr>
          <w:tbl>
            <w:tblPr>
              <w:tblCellMar>
                <w:top w:w="0" w:type="dxa"/>
                <w:left w:w="0" w:type="dxa"/>
                <w:bottom w:w="0" w:type="dxa"/>
                <w:right w:w="0" w:type="dxa"/>
              </w:tblCellMar>
            </w:tblPr>
            <w:tblGrid>
              <w:gridCol w:w="3646"/>
            </w:tblGrid>
            <w:tr>
              <w:trPr>
                <w:trHeight w:val="237" w:hRule="atLeast"/>
              </w:trPr>
              <w:tc>
                <w:tcPr>
                  <w:tcW w:w="3646"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82"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4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60"/>
              <w:gridCol w:w="3137"/>
              <w:gridCol w:w="1408"/>
            </w:tblGrid>
            <w:tr>
              <w:trPr>
                <w:trHeight w:val="282" w:hRule="atLeast"/>
              </w:trPr>
              <w:tc>
                <w:tcPr>
                  <w:tcW w:w="26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1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0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CHC43015 - Certificate IV in Ageing Support</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This version was released in CHC Community Services Training Package release 2.0 and meets the requirements of the 2012 Standards for Training Packages.Merged CHC40108 and CHC40212. Change to packaging rules. Removal on entry requirements. Significant change to core units. Minimum work requirement of 120 hours.</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2015/08/06</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and is equivalent to CHC40208 - Certificate IV in Home and Community Care</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Updated in V4</w:t>
                  </w:r>
                  <w:r>
                    <w:rPr>
                      <w:rFonts w:ascii="Arial" w:hAnsi="Arial" w:eastAsia="Arial"/>
                      <w:color w:val="000000"/>
                      <w:sz w:val="16"/>
                    </w:rPr>
                    <w:br/>
                    <w:t xml:space="preserve">Updated core WHS unit. Equivalent vocational outcome.</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2012/05/07</w:t>
                  </w:r>
                </w:p>
              </w:tc>
            </w:tr>
          </w:tbl>
          <w:p>
            <w:pPr>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hMerge w:val="continue"/>
            <w:vMerge w:val="restart"/>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71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qualification</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713"/>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7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CHC08</w:t>
                  </w:r>
                </w:p>
              </w:tc>
              <w:tc>
                <w:tcPr>
                  <w:tcW w:w="67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Services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4.0 - 4.2</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19" w:type="dxa"/>
          </w:tcPr>
          <w:p>
            <w:pPr>
              <w:pStyle w:val="EmptyCellLayoutStyle"/>
              <w:spacing w:after="0" w:line="240" w:lineRule="auto"/>
            </w:pPr>
          </w:p>
        </w:tc>
      </w:tr>
      <w:tr>
        <w:trPr>
          <w:trHeight w:val="2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Units of competency</w:t>
                  </w:r>
                </w:p>
              </w:tc>
            </w:tr>
          </w:tbl>
          <w:p>
            <w:pPr>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84"/>
              <w:gridCol w:w="345"/>
              <w:gridCol w:w="5401"/>
              <w:gridCol w:w="1440"/>
            </w:tblGrid>
            <w:tr>
              <w:trPr>
                <w:trHeight w:val="238" w:hRule="atLeast"/>
              </w:trPr>
              <w:tc>
                <w:tcPr>
                  <w:tcW w:w="138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34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54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BSBWOR401A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effective workplace relationships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CHCAC317A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4.png"/>
                        <a:graphic>
                          <a:graphicData uri="http://schemas.openxmlformats.org/drawingml/2006/picture">
                            <pic:pic>
                              <pic:nvPicPr>
                                <pic:cNvPr id="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older people to maintain their independence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CHCAC318B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4.png"/>
                        <a:graphic>
                          <a:graphicData uri="http://schemas.openxmlformats.org/drawingml/2006/picture">
                            <pic:pic>
                              <pic:nvPicPr>
                                <pic:cNvPr id="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older people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CHCAC410B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 name="img4.png"/>
                        <a:graphic>
                          <a:graphicData uri="http://schemas.openxmlformats.org/drawingml/2006/picture">
                            <pic:pic>
                              <pic:nvPicPr>
                                <pic:cNvPr id="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Collect technical data to support client health care plan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CHCAC412B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 name="img4.png"/>
                        <a:graphic>
                          <a:graphicData uri="http://schemas.openxmlformats.org/drawingml/2006/picture">
                            <pic:pic>
                              <pic:nvPicPr>
                                <pic:cNvPr id="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services to older people with complex needs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CHCAC416A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 name="img4.png"/>
                        <a:graphic>
                          <a:graphicData uri="http://schemas.openxmlformats.org/drawingml/2006/picture">
                            <pic:pic>
                              <pic:nvPicPr>
                                <pic:cNvPr id="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support responsive to the specific nature of dementia</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CHCAC417A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 name="img4.png"/>
                        <a:graphic>
                          <a:graphicData uri="http://schemas.openxmlformats.org/drawingml/2006/picture">
                            <pic:pic>
                              <pic:nvPicPr>
                                <pic:cNvPr id="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interventions with older people at risk of falls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CHCAD401D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 name="img4.png"/>
                        <a:graphic>
                          <a:graphicData uri="http://schemas.openxmlformats.org/drawingml/2006/picture">
                            <pic:pic>
                              <pic:nvPicPr>
                                <pic:cNvPr id="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Advocate for clients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CHCADMIN403D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 name="img4.png"/>
                        <a:graphic>
                          <a:graphicData uri="http://schemas.openxmlformats.org/drawingml/2006/picture">
                            <pic:pic>
                              <pic:nvPicPr>
                                <pic:cNvPr id="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administrative work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CHCAOD402B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 name="img4.png"/>
                        <a:graphic>
                          <a:graphicData uri="http://schemas.openxmlformats.org/drawingml/2006/picture">
                            <pic:pic>
                              <pic:nvPicPr>
                                <pic:cNvPr id="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in the alcohol and other drugs sector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CHCCM404A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 name="img4.png"/>
                        <a:graphic>
                          <a:graphicData uri="http://schemas.openxmlformats.org/drawingml/2006/picture">
                            <pic:pic>
                              <pic:nvPicPr>
                                <pic:cNvPr id="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case management for clients with complex needs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CHCCOM403A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 name="img4.png"/>
                        <a:graphic>
                          <a:graphicData uri="http://schemas.openxmlformats.org/drawingml/2006/picture">
                            <pic:pic>
                              <pic:nvPicPr>
                                <pic:cNvPr id="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targeted communication skills to build relationships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CHCCS305C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 name="img4.png"/>
                        <a:graphic>
                          <a:graphicData uri="http://schemas.openxmlformats.org/drawingml/2006/picture">
                            <pic:pic>
                              <pic:nvPicPr>
                                <pic:cNvPr id="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Assist clients with medication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CHCCS400C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 name="img4.png"/>
                        <a:graphic>
                          <a:graphicData uri="http://schemas.openxmlformats.org/drawingml/2006/picture">
                            <pic:pic>
                              <pic:nvPicPr>
                                <pic:cNvPr id="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within a relevant legal and ethical framework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CHCCS401C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 name="img4.png"/>
                        <a:graphic>
                          <a:graphicData uri="http://schemas.openxmlformats.org/drawingml/2006/picture">
                            <pic:pic>
                              <pic:nvPicPr>
                                <pic:cNvPr id="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responsible behaviour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CHCCS411C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 name="img4.png"/>
                        <a:graphic>
                          <a:graphicData uri="http://schemas.openxmlformats.org/drawingml/2006/picture">
                            <pic:pic>
                              <pic:nvPicPr>
                                <pic:cNvPr id="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in the community sector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CHCCS417B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 name="img4.png"/>
                        <a:graphic>
                          <a:graphicData uri="http://schemas.openxmlformats.org/drawingml/2006/picture">
                            <pic:pic>
                              <pic:nvPicPr>
                                <pic:cNvPr id="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support and care relating to suicide bereavement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CHCCS422B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 name="img4.png"/>
                        <a:graphic>
                          <a:graphicData uri="http://schemas.openxmlformats.org/drawingml/2006/picture">
                            <pic:pic>
                              <pic:nvPicPr>
                                <pic:cNvPr id="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Respond holistically to client issues and refer appropriately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CHCCS424B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 name="img4.png"/>
                        <a:graphic>
                          <a:graphicData uri="http://schemas.openxmlformats.org/drawingml/2006/picture">
                            <pic:pic>
                              <pic:nvPicPr>
                                <pic:cNvPr id="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Administer and monitor medications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CHCCS425B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 name="img4.png"/>
                        <a:graphic>
                          <a:graphicData uri="http://schemas.openxmlformats.org/drawingml/2006/picture">
                            <pic:pic>
                              <pic:nvPicPr>
                                <pic:cNvPr id="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health professional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CHCCS426B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 name="img4.png"/>
                        <a:graphic>
                          <a:graphicData uri="http://schemas.openxmlformats.org/drawingml/2006/picture">
                            <pic:pic>
                              <pic:nvPicPr>
                                <pic:cNvPr id="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support and care relating to loss and grief</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CHCDIS400C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 name="img4.png"/>
                        <a:graphic>
                          <a:graphicData uri="http://schemas.openxmlformats.org/drawingml/2006/picture">
                            <pic:pic>
                              <pic:nvPicPr>
                                <pic:cNvPr id="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care and support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CHCDIS405A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 name="img4.png"/>
                        <a:graphic>
                          <a:graphicData uri="http://schemas.openxmlformats.org/drawingml/2006/picture">
                            <pic:pic>
                              <pic:nvPicPr>
                                <pic:cNvPr id="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skills development and maintenance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CHCDIS409B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 name="img4.png"/>
                        <a:graphic>
                          <a:graphicData uri="http://schemas.openxmlformats.org/drawingml/2006/picture">
                            <pic:pic>
                              <pic:nvPicPr>
                                <pic:cNvPr id="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services to people with disabilities with complex needs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CHCDIS410A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 name="img4.png"/>
                        <a:graphic>
                          <a:graphicData uri="http://schemas.openxmlformats.org/drawingml/2006/picture">
                            <pic:pic>
                              <pic:nvPicPr>
                                <pic:cNvPr id="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community participation and inclusion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CHCDIS411A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 name="img4.png"/>
                        <a:graphic>
                          <a:graphicData uri="http://schemas.openxmlformats.org/drawingml/2006/picture">
                            <pic:pic>
                              <pic:nvPicPr>
                                <pic:cNvPr id="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Communicate using augmentative and alternative communication strategies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CHCHC401B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 name="img4.png"/>
                        <a:graphic>
                          <a:graphicData uri="http://schemas.openxmlformats.org/drawingml/2006/picture">
                            <pic:pic>
                              <pic:nvPicPr>
                                <pic:cNvPr id="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and monitor home based support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 name="img4.png"/>
                        <a:graphic>
                          <a:graphicData uri="http://schemas.openxmlformats.org/drawingml/2006/picture">
                            <pic:pic>
                              <pic:nvPicPr>
                                <pic:cNvPr id="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support for personal care needs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 name="img4.png"/>
                        <a:graphic>
                          <a:graphicData uri="http://schemas.openxmlformats.org/drawingml/2006/picture">
                            <pic:pic>
                              <pic:nvPicPr>
                                <pic:cNvPr id="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individualised plans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 name="img4.png"/>
                        <a:graphic>
                          <a:graphicData uri="http://schemas.openxmlformats.org/drawingml/2006/picture">
                            <pic:pic>
                              <pic:nvPicPr>
                                <pic:cNvPr id="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individual assessment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CHCICS404B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 name="img4.png"/>
                        <a:graphic>
                          <a:graphicData uri="http://schemas.openxmlformats.org/drawingml/2006/picture">
                            <pic:pic>
                              <pic:nvPicPr>
                                <pic:cNvPr id="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provide advanced behaviour support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CHCICS405B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 name="img4.png"/>
                        <a:graphic>
                          <a:graphicData uri="http://schemas.openxmlformats.org/drawingml/2006/picture">
                            <pic:pic>
                              <pic:nvPicPr>
                                <pic:cNvPr id="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groups for individual outcomes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CHCICS406B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 name="img4.png"/>
                        <a:graphic>
                          <a:graphicData uri="http://schemas.openxmlformats.org/drawingml/2006/picture">
                            <pic:pic>
                              <pic:nvPicPr>
                                <pic:cNvPr id="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client self-management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CHCICS407B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 name="img4.png"/>
                        <a:graphic>
                          <a:graphicData uri="http://schemas.openxmlformats.org/drawingml/2006/picture">
                            <pic:pic>
                              <pic:nvPicPr>
                                <pic:cNvPr id="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positive lifestyle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CHCICS408B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 name="img4.png"/>
                        <a:graphic>
                          <a:graphicData uri="http://schemas.openxmlformats.org/drawingml/2006/picture">
                            <pic:pic>
                              <pic:nvPicPr>
                                <pic:cNvPr id="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support to people with chronic disease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CHCICS409A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 name="img4.png"/>
                        <a:graphic>
                          <a:graphicData uri="http://schemas.openxmlformats.org/drawingml/2006/picture">
                            <pic:pic>
                              <pic:nvPicPr>
                                <pic:cNvPr id="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and respond to suspected abuse of vulnerable people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CHCICS410A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 name="img4.png"/>
                        <a:graphic>
                          <a:graphicData uri="http://schemas.openxmlformats.org/drawingml/2006/picture">
                            <pic:pic>
                              <pic:nvPicPr>
                                <pic:cNvPr id="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relationships with carers and families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CHCLLN403A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 name="img4.png"/>
                        <a:graphic>
                          <a:graphicData uri="http://schemas.openxmlformats.org/drawingml/2006/picture">
                            <pic:pic>
                              <pic:nvPicPr>
                                <pic:cNvPr id="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clients with language, literacy and numeracy needs and respond effectively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CHCMH402B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8" name="img4.png"/>
                        <a:graphic>
                          <a:graphicData uri="http://schemas.openxmlformats.org/drawingml/2006/picture">
                            <pic:pic>
                              <pic:nvPicPr>
                                <pic:cNvPr id="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understanding of mental health issues and recovery processes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CHCMH411A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0" name="img4.png"/>
                        <a:graphic>
                          <a:graphicData uri="http://schemas.openxmlformats.org/drawingml/2006/picture">
                            <pic:pic>
                              <pic:nvPicPr>
                                <pic:cNvPr id="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people with mental health issues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CHCNET404A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2" name="img4.png"/>
                        <a:graphic>
                          <a:graphicData uri="http://schemas.openxmlformats.org/drawingml/2006/picture">
                            <pic:pic>
                              <pic:nvPicPr>
                                <pic:cNvPr id="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links with other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CHCOHC303B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4" name="img4.png"/>
                        <a:graphic>
                          <a:graphicData uri="http://schemas.openxmlformats.org/drawingml/2006/picture">
                            <pic:pic>
                              <pic:nvPicPr>
                                <pic:cNvPr id="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basic oral health screening tools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CHCOHC401A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6" name="img4.png"/>
                        <a:graphic>
                          <a:graphicData uri="http://schemas.openxmlformats.org/drawingml/2006/picture">
                            <pic:pic>
                              <pic:nvPicPr>
                                <pic:cNvPr id="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Inform and encourage clients and groups to understand and achieve good oral health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CHCOHC402A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8" name="img4.png"/>
                        <a:graphic>
                          <a:graphicData uri="http://schemas.openxmlformats.org/drawingml/2006/picture">
                            <pic:pic>
                              <pic:nvPicPr>
                                <pic:cNvPr id="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clients and groups to learn practical aspects of oral health care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CHCOHC404A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0" name="img4.png"/>
                        <a:graphic>
                          <a:graphicData uri="http://schemas.openxmlformats.org/drawingml/2006/picture">
                            <pic:pic>
                              <pic:nvPicPr>
                                <pic:cNvPr id="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and respond to signs and symptoms that may indicate oral health issues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CHCOHC406B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2" name="img4.png"/>
                        <a:graphic>
                          <a:graphicData uri="http://schemas.openxmlformats.org/drawingml/2006/picture">
                            <pic:pic>
                              <pic:nvPicPr>
                                <pic:cNvPr id="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or assist with oral hygiene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CHCOHC407B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4" name="img4.png"/>
                        <a:graphic>
                          <a:graphicData uri="http://schemas.openxmlformats.org/drawingml/2006/picture">
                            <pic:pic>
                              <pic:nvPicPr>
                                <pic:cNvPr id="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and manage use of basic oral health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CHCORG406C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6" name="img4.png"/>
                        <a:graphic>
                          <a:graphicData uri="http://schemas.openxmlformats.org/drawingml/2006/picture">
                            <pic:pic>
                              <pic:nvPicPr>
                                <pic:cNvPr id="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Supervise work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CHCORG423C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8" name="img4.png"/>
                        <a:graphic>
                          <a:graphicData uri="http://schemas.openxmlformats.org/drawingml/2006/picture">
                            <pic:pic>
                              <pic:nvPicPr>
                                <pic:cNvPr id="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quality service delivery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CHCPA301B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0" name="img4.png"/>
                        <a:graphic>
                          <a:graphicData uri="http://schemas.openxmlformats.org/drawingml/2006/picture">
                            <pic:pic>
                              <pic:nvPicPr>
                                <pic:cNvPr id="1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Deliver care services using a palliative approach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CHCPA402B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2" name="img4.png"/>
                        <a:graphic>
                          <a:graphicData uri="http://schemas.openxmlformats.org/drawingml/2006/picture">
                            <pic:pic>
                              <pic:nvPicPr>
                                <pic:cNvPr id="1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for and provide care services using a palliative approach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CHCPAS401B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4" name="img4.png"/>
                        <a:graphic>
                          <a:graphicData uri="http://schemas.openxmlformats.org/drawingml/2006/picture">
                            <pic:pic>
                              <pic:nvPicPr>
                                <pic:cNvPr id="1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pastoral care work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CHCRH401C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6" name="img4.png"/>
                        <a:graphic>
                          <a:graphicData uri="http://schemas.openxmlformats.org/drawingml/2006/picture">
                            <pic:pic>
                              <pic:nvPicPr>
                                <pic:cNvPr id="1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in the leisure and health industry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CHCRH402B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8" name="img4.png"/>
                        <a:graphic>
                          <a:graphicData uri="http://schemas.openxmlformats.org/drawingml/2006/picture">
                            <pic:pic>
                              <pic:nvPicPr>
                                <pic:cNvPr id="1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leisure and health programming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CHCRH404B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0" name="img4.png"/>
                        <a:graphic>
                          <a:graphicData uri="http://schemas.openxmlformats.org/drawingml/2006/picture">
                            <pic:pic>
                              <pic:nvPicPr>
                                <pic:cNvPr id="1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implement and monitor leisure and health programs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HLTAP301B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2" name="img4.png"/>
                        <a:graphic>
                          <a:graphicData uri="http://schemas.openxmlformats.org/drawingml/2006/picture">
                            <pic:pic>
                              <pic:nvPicPr>
                                <pic:cNvPr id="1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healthy body systems in a health care context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HLTAP401B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4" name="img4.png"/>
                        <a:graphic>
                          <a:graphicData uri="http://schemas.openxmlformats.org/drawingml/2006/picture">
                            <pic:pic>
                              <pic:nvPicPr>
                                <pic:cNvPr id="1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Confirm physical health status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HLTFA301C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6" name="img4.png"/>
                        <a:graphic>
                          <a:graphicData uri="http://schemas.openxmlformats.org/drawingml/2006/picture">
                            <pic:pic>
                              <pic:nvPicPr>
                                <pic:cNvPr id="1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first aid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HLTFA402C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8" name="img4.png"/>
                        <a:graphic>
                          <a:graphicData uri="http://schemas.openxmlformats.org/drawingml/2006/picture">
                            <pic:pic>
                              <pic:nvPicPr>
                                <pic:cNvPr id="1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advanced first aid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HLTFS207C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0" name="img4.png"/>
                        <a:graphic>
                          <a:graphicData uri="http://schemas.openxmlformats.org/drawingml/2006/picture">
                            <pic:pic>
                              <pic:nvPicPr>
                                <pic:cNvPr id="1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Follow basic food safety practices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HLTFS309C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2" name="img4.png"/>
                        <a:graphic>
                          <a:graphicData uri="http://schemas.openxmlformats.org/drawingml/2006/picture">
                            <pic:pic>
                              <pic:nvPicPr>
                                <pic:cNvPr id="1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Oversee the day-to-day implementation of food safety in the workplace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HLTFS310C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4" name="img4.png"/>
                        <a:graphic>
                          <a:graphicData uri="http://schemas.openxmlformats.org/drawingml/2006/picture">
                            <pic:pic>
                              <pic:nvPicPr>
                                <pic:cNvPr id="1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and monitor food safety requirements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HLTHIR403C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6" name="img4.png"/>
                        <a:graphic>
                          <a:graphicData uri="http://schemas.openxmlformats.org/drawingml/2006/picture">
                            <pic:pic>
                              <pic:nvPicPr>
                                <pic:cNvPr id="1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culturally diverse clients and co-workers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HLTHIR404D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8" name="img4.png"/>
                        <a:graphic>
                          <a:graphicData uri="http://schemas.openxmlformats.org/drawingml/2006/picture">
                            <pic:pic>
                              <pic:nvPicPr>
                                <pic:cNvPr id="1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Aboriginal and/or Torres Strait Islander people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53"/>
              <w:gridCol w:w="1396"/>
              <w:gridCol w:w="2793"/>
            </w:tblGrid>
            <w:tr>
              <w:trPr>
                <w:trHeight w:val="238" w:hRule="atLeast"/>
              </w:trPr>
              <w:tc>
                <w:tcPr>
                  <w:tcW w:w="54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39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7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411711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Worker</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0905</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Human Welfare Studies And Services</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2512-13</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Worker</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511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Industry Sector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Aged Care and Disability, Community Services</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Occupation</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Carer, Community House Worker, In Home Respite Worker, Transport Support Worker, Care Team Leader, Assistant Coordinator (Residential Care), Day Activity Worker, Support Worker (Community Services)</w:t>
                  </w:r>
                </w:p>
              </w:tc>
            </w:tr>
          </w:tbl>
          <w:p>
            <w:pPr>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44"/>
              <w:gridCol w:w="1183"/>
              <w:gridCol w:w="854"/>
              <w:gridCol w:w="1128"/>
              <w:gridCol w:w="1031"/>
            </w:tblGrid>
            <w:tr>
              <w:trPr>
                <w:trHeight w:val="238" w:hRule="atLeast"/>
              </w:trPr>
              <w:tc>
                <w:tcPr>
                  <w:tcW w:w="544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18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5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12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3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411711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Worker</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2012/10/02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2512-13</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Worker</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2012/10/02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0905</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Human Welfare Studies And Services</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2012/10/02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511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2012/05/07</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19"/>
      <w:gridCol w:w="3955"/>
      <w:gridCol w:w="1798"/>
      <w:gridCol w:w="4018"/>
      <w:gridCol w:w="31"/>
    </w:tblGrid>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Borders>
            <w:top w:val="single" w:color="00008B" w:sz="15"/>
          </w:tcBorders>
        </w:tcPr>
        <w:p>
          <w:pPr>
            <w:pStyle w:val="EmptyCellLayoutStyle"/>
            <w:spacing w:after="0" w:line="240" w:lineRule="auto"/>
          </w:pPr>
        </w:p>
      </w:tc>
      <w:tc>
        <w:tcPr>
          <w:tcW w:w="179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2024/03/28 08:24 PM</w:t>
                </w:r>
              </w:p>
            </w:tc>
          </w:tr>
        </w:tbl>
        <w:p>
          <w:pPr>
            <w:spacing w:after="0" w:line="240" w:lineRule="auto"/>
          </w:pPr>
        </w:p>
      </w:tc>
      <w:tc>
        <w:tcPr>
          <w:tcW w:w="3955" w:type="dxa"/>
          <w:hMerge w:val="continue"/>
        </w:tcPr>
        <w:p>
          <w:pPr>
            <w:pStyle w:val="EmptyCellLayoutStyle"/>
            <w:spacing w:after="0" w:line="240" w:lineRule="auto"/>
          </w:pPr>
        </w:p>
      </w:tc>
      <w:tc>
        <w:tcPr>
          <w:tcW w:w="179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numbering" Target="/word/numbering.xml" Id="rId9"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QualificationsPrintReport</dc:title>
</cp:coreProperties>
</file>