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UEP50318 - Diploma of ESI Generation (Maintenance)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UEP50322 - Diploma of ESI Generation (Maintenance)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UEP50312 - Diploma of ESI Generation (Maintenance)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workplace learning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a safe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manage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heating and thermal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manual metal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manual metal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gas metal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welding using gas metal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welding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MEM05026C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welding principles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welding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 welding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general machining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lathe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milling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grinding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milling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grinding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lathe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precision mechanical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computations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tools for precision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fit engineering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mechanical drives and mechanical transmission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levelling and alignment of machines and engineering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MEM18010C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equipment condition monitoring and recording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MEM18055B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Dismantle, replace and assemble engineering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OHS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single and three phase low voltage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UEENEEG033A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single and three phase low voltage electrical apparatus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UEENEEG063A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Arrange circuits, control and protection for general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electromagnetic devices and related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low voltage a.c.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cables, cords and accessories for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Trouble-shoot and repair faults in low voltage electrical apparatus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industrial pipe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mechanical valves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mechanical pumps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industrial fans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industrial screens, strainers and filters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conveyors and associated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material feeders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material crushers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fuel transport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industrial pressure vessels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internal combustion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hydro turbines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wind turbines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mechanical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generator mechanical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commission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wind turbine mechanical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complex mechanical seals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complex levelling and alignment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complex mechanical valves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complex mechanical pumps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a steam turbine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 gas turbine 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hydro turbines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civil drafting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technical inspection of process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performance testing on process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efficiency of thermal steam cycle power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wind turbine mechanical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systems to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first response within a workplace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single energy source isolation procedures for permit to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quality systems within the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workplace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UEPOPS369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a critical incident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multiple energy source isolation procedures for permit to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permit to work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first response team operation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implementation of quality control for production and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implement environmental site plans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network/system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Schedule generation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maintenance plans for generation production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permit to work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team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response to critical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switching to a switching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UEPOPS457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electrical energy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Work, Health and Safety policy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permit to work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maintenance strategies for generation production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project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commissioning and decommissioning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control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power generation plant reliability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Tune process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high voltage network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crisis to maintain or restore power system integrity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power generation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cost estimations and initiate appropriate solutions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critical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scheduling of generation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direct switching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electrical energy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first response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environmental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UEPOPS529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strategies for power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312312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Engineering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Generation Maintenance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Maintenance Technical Officer (Electricity Supply Industry)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312312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Engineering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01:37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