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MSL09 - Laboratory Operations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2013/03/11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2013/03/12)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2.2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2012/12/19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2012/12/19)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2012/12/17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2012/12/17)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2012/12/10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2012/12/05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2011/01/14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2009/12/04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73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Manufacturing Industry Skills Alliance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https://manufacturingalliance.org.au/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MSL - Laboratory Operations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 by MSL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PML04 - Laboratory Operations Training Package (Superseded by MSL09)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Package.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MSL20109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Sampling and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MSL30109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Laboratory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MSL40109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Laboratory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MSL50109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Laboratory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MSL60109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Laboratory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MSL70109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Instrumental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standard calibrations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non-standard calibrations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or modify calibration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MSL905003A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or modify automated calibration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MSL912001A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 laboratory/field workplace (induction)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with other people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laboratory/field 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practical science classes and demonstrations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information to customers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Schedule laboratory work for a small team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laboratory documentation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develop teams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laboratory operations in work/functional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registration and statutory or legal compliance in work/functional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MSL916005A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complex projects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MSL922001A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present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interpret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MSL924002A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laboratory application software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data and report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measurements and estimate uncertainties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laboratory/field workplace fit for purpose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achievement of quality objectives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critical control point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MSL933004A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calibration checks on equipment and assist with its maintenance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ongoing development of HACCP plans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 and continuous improvement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control stocks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quality of test results and data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the maintenance of reference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Authorise the issue of test results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MSL935004A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instruments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MSL936001A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quality system and continuous improvement processes within work/functional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MSL936002A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internal audit of the quality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instruments that emit ionising radiation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laboratory/field workplace safety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laboratory/field workplace safety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MSL946001A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OHS and environmental management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MSL952001A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routine site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MSL952002A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transport samples or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prepare samples for testing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robotic sample preparation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representative samples in accordance with sampling plan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mineral samples for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 robotic sample preparation system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MSL963001A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basic handblowing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MSL963002A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glass apparatus using simple glassblowing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MSL965001A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manufacture glass apparatus and glass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MSL965002A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glass coating, grinding and finishing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MSL965003A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modify and maintain high vacuum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MSL972001A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routine site measurements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working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culture media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aseptic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fieldwork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trial batches for evaluation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microscopic examination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histological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field-based acceptance tests for construction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laboratory-based acceptance tests for construction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fire pouring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geotechnical site investigations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standardise and use solutions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geotechnical site investigations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food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biological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environmental field-based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and manage scientific images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field-based, remote-sensing monitoring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mechanical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tissue and cell cultures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tests to determine the properties of construction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performance of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microbiological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haematological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histological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pathology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sensory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immunohaematological tests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sampling, inspections and testing at construction 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electrophoretic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chromatographic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fire assay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supervise complex environmental field surveys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input to production trials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tissue and cell culture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molecular biology tests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animal and plant material for display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engineering properties of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laboratory-based ecological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tests to measure chemical properties of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MSL975019A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complex instrumental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spectrometric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electrometric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food analyses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geotechnical site investigations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 record and collect forensic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complex laboratory testing of forensic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MSL975026A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examination of forensic samples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MSL976001A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Classify building 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MSL976002A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plans and quality assurance procedures for environmental field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MSL976003A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select appropriate test methods and/or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products and applications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equipment and/or production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validation of test methods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or adapt analyses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data acquisition and interfacing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specialised knowledge of gas chromatography techniques to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specialised knowledge of liquid chromatography techniques to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specialised knowledge of inductively coupled plasma spectroscopy to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ultraviolet, visible and near infra red spectroscopic techniques to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advanced infra red spectroscopic techniques to analysis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MSL977011A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selection, commissioning and maintenance of analytical instruments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HLTPAT317C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effectively within a pathology testing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 (HLT07)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HLTPAT419C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Pathology Tests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 (HLT07)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MSAENV472B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MSAENV672B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environmental sustainability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TAADEL301C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training through instruction and demonstration of work skills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Assessment Training Package (TAA04)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03:58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