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CHCSS00037 - Mental health skill set - including recognise individuals at risk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CHC08 Community Services Training Package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CHCCS514B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and respond to individuals at risk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CHCMH401A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mental health settings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CHCMH402B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understanding of mental health issues and recovery processes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CHCMH403A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communication and relationships to support the recovery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CHCMH404B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assessment and planning as part of the recovery process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01:51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