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80910ACT - Certificate IV in Professional Communication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2010/01/01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2014/12/31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Section 33(1-5) of the Training and Tertiary Education Act ACT 2003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2011/07/01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Section 33(1-5) of the Training and Tertiary Education Act ACT 2003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2014/12/31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2014/12/31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Carolyn Grayson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RTO Director, Centre for Education Excellence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Canberra Institute of Technology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0262074957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0262074834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carolyn.grayson@cit.edu.au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PO BOX 826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CANBERRA ACT 2601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Carolyn Grayson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2010/01/01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RTO Director, Centre for Education Excellence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Canberra Institute of Technology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0262074957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0262074834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carolyn.grayson@cit.edu.au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PO BOX 826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CANBERRA ACT 2601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Adrian Marron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2010/01/01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2016/02/24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Chief Executive and Director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Canberra Institute of Technology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0262073107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0262073895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adrian.marron@cit.act.edu.au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GPO Box 826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CANBERRA ACT 2601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BSBCMM201A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extend critical and creative thinking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Collaborate in a creative process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BSBMKG414A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marketing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BSBPUB403A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relations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team effectiveness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BSBWRT501A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persuasive copy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CUECOR02C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others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CUEOHS01C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workplace health, safety and security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CUFAIR302A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techniques for presenting information to camera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interviews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a wide range of radio material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CUFCMP301A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copyright arrangements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Author interactive sequences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and prepare photo images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visual design components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CUFIND301A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screen and media industries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CUFPOS201A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vision and sound editing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CUFPPM301A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prepare programs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CUFPPM401A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programs and program segments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CUFRES201A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and organise content for broadcast or publication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CUFRES401A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research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CUFSOU204A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sound editing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content for a range of media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CUFWRT302A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simple stories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CUFWRT401A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CUFWRT402A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extended stories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CUSBMA10A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publicity opportunities for an artistic event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CUSGEN02B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culturally diverse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CUSGEN04A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negotiations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ICPMM321C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a digital image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simple projects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simple project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PSPGOV413A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Compose complex workplace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CUSOHS301A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occupational health and safety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CUSSOU201A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sound recordings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CITCOMM05A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apply introductory public relations knowledge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CITCOMM03A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media relations principles and techniques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BSBCMM201A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extend critical and creative thinking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Collaborate in a creative process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BSBMKG414A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marketing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BSBPUB403A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relations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team effectiveness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BSBWRT501A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persuasive copy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CUECOR02C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others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CUEOHS01C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workplace health, safety and security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CUFAIR302A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techniques for presenting information to camera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interviews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CUFAIR402A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a wide range of radio material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CUFCMP301A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copyright arrangements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Author interactive sequences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and prepare photo images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visual design components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CUFIND301A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screen and media industries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CUFPOS201A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vision and sound editing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CUFPPM301A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prepare programs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CUFPPM401A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programs and program segments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CUFRES201A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and organise content for broadcast or publication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CUFRES401A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research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CUFSOU204A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sound editing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content for a range of media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CUFWRT302A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simple stories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CUFWRT401A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CUFWRT402A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extended stories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CUSBMA10A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publicity opportunities for an artistic event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CUSGEN02B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culturally diverse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CUSGEN04A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negotiations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ICPMM321C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a digital image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simple projects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simple project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PSPGOV413A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Compose complex workplace documents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CUSOHS301A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occupational health and safety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CUSSOU201A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sound recordings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CITCOMM05A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apply introductory public relations knowledge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CITCOMM03A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media relations principles and techniques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212499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Journalists And Other Writers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2534-79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Journalists And Related Professionals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Communication And Media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212499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Journalists And Other Writers Nec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2534-79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Journalists And Related Professionals Nec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Communication And Media Studies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2010/01/01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01:05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