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SITHCCC207 - Use cookery skills effectively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SITHCCC011 - Use cookery skills effectively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 •Unit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SITHCCC027A - Prepare, cook and serve food for food service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Title changed to allow for application in broader catering contexts.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Four prerequisite units removed.  SITXFSA101 Use hygienic practices for food safety retained as a prerequisite. ‘Service’ broadened to any production context. Minor adjustments to expression of content to streamline and improve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Maritime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Kitchen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Maritime Operations (Marine Cookery)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Cookery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09:22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