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19"/>
        <w:gridCol w:w="19"/>
        <w:gridCol w:w="11"/>
        <w:gridCol w:w="8"/>
        <w:gridCol w:w="20"/>
        <w:gridCol w:w="20"/>
        <w:gridCol w:w="40"/>
        <w:gridCol w:w="754"/>
        <w:gridCol w:w="60"/>
        <w:gridCol w:w="1999"/>
        <w:gridCol w:w="20"/>
        <w:gridCol w:w="31"/>
        <w:gridCol w:w="20"/>
        <w:gridCol w:w="20"/>
        <w:gridCol w:w="189"/>
        <w:gridCol w:w="539"/>
        <w:gridCol w:w="789"/>
        <w:gridCol w:w="1467"/>
        <w:gridCol w:w="160"/>
        <w:gridCol w:w="198"/>
        <w:gridCol w:w="942"/>
        <w:gridCol w:w="724"/>
        <w:gridCol w:w="15"/>
        <w:gridCol w:w="1423"/>
        <w:gridCol w:w="40"/>
        <w:gridCol w:w="19"/>
        <w:gridCol w:w="20"/>
        <w:gridCol w:w="219"/>
        <w:gridCol w:w="28"/>
      </w:tblGrid>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446"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Accredited course details</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724"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1423"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19" w:type="dxa"/>
            <w:hMerge w:val="continue"/>
            <w:vMerge w:val="restart"/>
          </w:tcPr>
          <w:p>
            <w:pPr>
              <w:pStyle w:val="EmptyCellLayoutStyle"/>
              <w:spacing w:after="0" w:line="240" w:lineRule="auto"/>
            </w:pPr>
          </w:p>
        </w:tc>
        <w:tc>
          <w:tcPr>
            <w:tcW w:w="28" w:type="dxa"/>
          </w:tcPr>
          <w:p>
            <w:pPr>
              <w:pStyle w:val="EmptyCellLayoutStyle"/>
              <w:spacing w:after="0" w:line="240" w:lineRule="auto"/>
            </w:pPr>
          </w:p>
        </w:tc>
      </w:tr>
      <w:tr>
        <w:trPr>
          <w:trHeight w:val="30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20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282"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22471VIC - Course in Initial General Education for Adults</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34"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8"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754" w:type="dxa"/>
            <w:tcBorders>
              <w:top w:val="single" w:color="00008B" w:sz="15"/>
            </w:tcBorders>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199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89" w:type="dxa"/>
            <w:tcBorders>
              <w:top w:val="single" w:color="00008B" w:sz="15"/>
            </w:tcBorders>
          </w:tcPr>
          <w:p>
            <w:pPr>
              <w:pStyle w:val="EmptyCellLayoutStyle"/>
              <w:spacing w:after="0" w:line="240" w:lineRule="auto"/>
            </w:pPr>
          </w:p>
        </w:tc>
        <w:tc>
          <w:tcPr>
            <w:tcW w:w="539" w:type="dxa"/>
            <w:tcBorders>
              <w:top w:val="single" w:color="00008B" w:sz="15"/>
            </w:tcBorders>
          </w:tcPr>
          <w:p>
            <w:pPr>
              <w:pStyle w:val="EmptyCellLayoutStyle"/>
              <w:spacing w:after="0" w:line="240" w:lineRule="auto"/>
            </w:pPr>
          </w:p>
        </w:tc>
        <w:tc>
          <w:tcPr>
            <w:tcW w:w="789" w:type="dxa"/>
            <w:tcBorders>
              <w:top w:val="single" w:color="00008B" w:sz="15"/>
            </w:tcBorders>
          </w:tcPr>
          <w:p>
            <w:pPr>
              <w:pStyle w:val="EmptyCellLayoutStyle"/>
              <w:spacing w:after="0" w:line="240" w:lineRule="auto"/>
            </w:pPr>
          </w:p>
        </w:tc>
        <w:tc>
          <w:tcPr>
            <w:tcW w:w="1467" w:type="dxa"/>
            <w:tcBorders>
              <w:top w:val="single" w:color="00008B" w:sz="15"/>
            </w:tcBorders>
          </w:tcPr>
          <w:p>
            <w:pPr>
              <w:pStyle w:val="EmptyCellLayoutStyle"/>
              <w:spacing w:after="0" w:line="240" w:lineRule="auto"/>
            </w:pPr>
          </w:p>
        </w:tc>
        <w:tc>
          <w:tcPr>
            <w:tcW w:w="160" w:type="dxa"/>
            <w:tcBorders>
              <w:top w:val="single" w:color="00008B" w:sz="15"/>
            </w:tcBorders>
          </w:tcPr>
          <w:p>
            <w:pPr>
              <w:pStyle w:val="EmptyCellLayoutStyle"/>
              <w:spacing w:after="0" w:line="240" w:lineRule="auto"/>
            </w:pPr>
          </w:p>
        </w:tc>
        <w:tc>
          <w:tcPr>
            <w:tcW w:w="198" w:type="dxa"/>
            <w:tcBorders>
              <w:top w:val="single" w:color="00008B" w:sz="15"/>
            </w:tcBorders>
          </w:tcPr>
          <w:p>
            <w:pPr>
              <w:pStyle w:val="EmptyCellLayoutStyle"/>
              <w:spacing w:after="0" w:line="240" w:lineRule="auto"/>
            </w:pPr>
          </w:p>
        </w:tc>
        <w:tc>
          <w:tcPr>
            <w:tcW w:w="942" w:type="dxa"/>
            <w:tcBorders>
              <w:top w:val="single" w:color="00008B" w:sz="15"/>
            </w:tcBorders>
          </w:tcPr>
          <w:p>
            <w:pPr>
              <w:pStyle w:val="EmptyCellLayoutStyle"/>
              <w:spacing w:after="0" w:line="240" w:lineRule="auto"/>
            </w:pPr>
          </w:p>
        </w:tc>
        <w:tc>
          <w:tcPr>
            <w:tcW w:w="724" w:type="dxa"/>
            <w:tcBorders>
              <w:top w:val="single" w:color="00008B" w:sz="15"/>
            </w:tcBorders>
          </w:tcPr>
          <w:p>
            <w:pPr>
              <w:pStyle w:val="EmptyCellLayoutStyle"/>
              <w:spacing w:after="0" w:line="240" w:lineRule="auto"/>
            </w:pPr>
          </w:p>
        </w:tc>
        <w:tc>
          <w:tcPr>
            <w:tcW w:w="15" w:type="dxa"/>
            <w:tcBorders>
              <w:top w:val="single" w:color="00008B" w:sz="15"/>
            </w:tcBorders>
          </w:tcPr>
          <w:p>
            <w:pPr>
              <w:pStyle w:val="EmptyCellLayoutStyle"/>
              <w:spacing w:after="0" w:line="240" w:lineRule="auto"/>
            </w:pPr>
          </w:p>
        </w:tc>
        <w:tc>
          <w:tcPr>
            <w:tcW w:w="1423"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19" w:type="dxa"/>
            <w:tcBorders>
              <w:top w:val="single" w:color="00008B" w:sz="15"/>
            </w:tcBorders>
          </w:tcPr>
          <w:p>
            <w:pPr>
              <w:pStyle w:val="EmptyCellLayoutStyle"/>
              <w:spacing w:after="0" w:line="240" w:lineRule="auto"/>
            </w:pPr>
          </w:p>
        </w:tc>
        <w:tc>
          <w:tcPr>
            <w:tcW w:w="28" w:type="dxa"/>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53"/>
              <w:gridCol w:w="4986"/>
            </w:tblGrid>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Status:</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Current</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Recognition manager:</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Victorian Registration and Qualifications Authority (VRQA)</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start:</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2018/07/01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end:</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2025/06/30</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End reason: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Authority:</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Victorian Registration and Qualification Authority</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Description: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 The Course in Initial General Education for Adults provides learners who have low literacy and numeracy skills with the opportunity to build confidence, re-engage with learning and pathway into AQF qualifications.</w:t>
                  </w:r>
                  <w:r>
                    <w:rPr>
                      <w:rFonts w:ascii="Arial" w:hAnsi="Arial" w:eastAsia="Arial"/>
                      <w:b/>
                      <w:color w:val="696969"/>
                      <w:sz w:val="16"/>
                    </w:rPr>
                    <w:br/>
                  </w:r>
                  <w:r>
                    <w:rPr>
                      <w:rFonts w:ascii="Arial" w:hAnsi="Arial" w:eastAsia="Arial"/>
                      <w:b/>
                      <w:color w:val="696969"/>
                      <w:sz w:val="16"/>
                    </w:rPr>
                    <w:br/>
                    <w:t xml:space="preserve">The Certificates in General Education for Adults (CGEA) address the education and training needs of adults who need to improve their literacy, basic maths and general education skills to access further study, employment or to participate in the community.</w:t>
                  </w:r>
                  <w:r>
                    <w:rPr>
                      <w:rFonts w:ascii="Arial" w:hAnsi="Arial" w:eastAsia="Arial"/>
                      <w:b/>
                      <w:color w:val="696969"/>
                      <w:sz w:val="16"/>
                    </w:rPr>
                    <w:br/>
                  </w:r>
                  <w:r>
                    <w:rPr>
                      <w:rFonts w:ascii="Arial" w:hAnsi="Arial" w:eastAsia="Arial"/>
                      <w:b/>
                      <w:color w:val="696969"/>
                      <w:sz w:val="16"/>
                    </w:rPr>
                    <w:br/>
                    <w:t xml:space="preserve">22471VIC Course in Initial General Education for Adults supersedes, and is equivalent to the 22234VIC Course in Initial General Education for Adults.</w:t>
                  </w:r>
                  <w:r>
                    <w:rPr>
                      <w:rFonts w:ascii="Arial" w:hAnsi="Arial" w:eastAsia="Arial"/>
                      <w:b/>
                      <w:color w:val="696969"/>
                      <w:sz w:val="16"/>
                    </w:rPr>
                    <w:br/>
                  </w:r>
                  <w:r>
                    <w:rPr>
                      <w:rFonts w:ascii="Arial" w:hAnsi="Arial" w:eastAsia="Arial"/>
                      <w:b/>
                      <w:color w:val="696969"/>
                      <w:sz w:val="16"/>
                    </w:rPr>
                    <w:br/>
                    <w:t xml:space="preserve">Nominal Hours 225</w:t>
                  </w:r>
                </w:p>
              </w:tc>
            </w:tr>
          </w:tbl>
          <w:p>
            <w:pPr>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40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110"/>
            </w:tblGrid>
            <w:tr>
              <w:trPr/>
              <w:tc>
                <w:tcPr>
                  <w:tcW w:w="711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r>
            <w:tr>
              <w:trPr>
                <w:trHeight w:val="282" w:hRule="atLeast"/>
              </w:trPr>
              <w:tc>
                <w:tcPr>
                  <w:tcW w:w="711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The previous version of this course is 22234VIC - Course in Initial General Education for Adults</w:t>
                  </w:r>
                </w:p>
              </w:tc>
            </w:tr>
          </w:tbl>
          <w:p>
            <w:pPr>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hMerge w:val="continue"/>
            <w:vMerge w:val="restart"/>
          </w:tcPr>
          <w:p>
            <w:pPr>
              <w:pStyle w:val="EmptyCellLayoutStyle"/>
              <w:spacing w:after="0" w:line="240" w:lineRule="auto"/>
            </w:pPr>
          </w:p>
        </w:tc>
        <w:tc>
          <w:tcPr>
            <w:tcW w:w="942" w:type="dxa"/>
            <w:hMerge w:val="continue"/>
            <w:vMerge w:val="restart"/>
          </w:tcPr>
          <w:p>
            <w:pPr>
              <w:pStyle w:val="EmptyCellLayoutStyle"/>
              <w:spacing w:after="0" w:line="240" w:lineRule="auto"/>
            </w:pPr>
          </w:p>
        </w:tc>
        <w:tc>
          <w:tcPr>
            <w:tcW w:w="724"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4"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54"/>
            </w:tblGrid>
            <w:tr>
              <w:trPr/>
              <w:tc>
                <w:tcPr>
                  <w:tcW w:w="754"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754" w:type="dxa"/>
            <w:hMerge w:val="continue"/>
          </w:tcPr>
          <w:p>
            <w:pPr>
              <w:pStyle w:val="EmptyCellLayoutStyle"/>
              <w:spacing w:after="0" w:line="240" w:lineRule="auto"/>
            </w:pPr>
          </w:p>
        </w:tc>
        <w:tc>
          <w:tcPr>
            <w:tcW w:w="60" w:type="dxa"/>
          </w:tcPr>
          <w:p>
            <w:pPr>
              <w:pStyle w:val="EmptyCellLayoutStyle"/>
              <w:spacing w:after="0" w:line="240" w:lineRule="auto"/>
            </w:pPr>
          </w:p>
        </w:tc>
        <w:tc>
          <w:tcPr>
            <w:tcW w:w="199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hMerge w:val="continue"/>
            <w:vMerge w:val="continue"/>
          </w:tcPr>
          <w:p>
            <w:pPr>
              <w:pStyle w:val="EmptyCellLayoutStyle"/>
              <w:spacing w:after="0" w:line="240" w:lineRule="auto"/>
            </w:pPr>
          </w:p>
        </w:tc>
        <w:tc>
          <w:tcPr>
            <w:tcW w:w="942" w:type="dxa"/>
            <w:hMerge w:val="continue"/>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7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3703"/>
            </w:tblGrid>
            <w:tr>
              <w:trPr>
                <w:trHeight w:val="282" w:hRule="atLeast"/>
              </w:trPr>
              <w:tc>
                <w:tcPr>
                  <w:tcW w:w="370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Recognition manager history</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89"/>
              <w:gridCol w:w="1149"/>
              <w:gridCol w:w="1064"/>
            </w:tblGrid>
            <w:tr>
              <w:trPr>
                <w:trHeight w:val="238" w:hRule="atLeast"/>
              </w:trPr>
              <w:tc>
                <w:tcPr>
                  <w:tcW w:w="72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Recognition manager</w:t>
                  </w:r>
                </w:p>
              </w:tc>
              <w:tc>
                <w:tcPr>
                  <w:tcW w:w="11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72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Victorian Registration and Qualifications Authority (VRQA)</w:t>
                  </w:r>
                </w:p>
              </w:tc>
              <w:tc>
                <w:tcPr>
                  <w:tcW w:w="11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0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history</w:t>
                  </w:r>
                </w:p>
              </w:tc>
            </w:tr>
          </w:tbl>
          <w:p>
            <w:pPr>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63"/>
              <w:gridCol w:w="1147"/>
              <w:gridCol w:w="1029"/>
              <w:gridCol w:w="1073"/>
              <w:gridCol w:w="1417"/>
            </w:tblGrid>
            <w:tr>
              <w:trPr>
                <w:trHeight w:val="238" w:hRule="atLeast"/>
              </w:trPr>
              <w:tc>
                <w:tcPr>
                  <w:tcW w:w="516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Authority</w:t>
                  </w:r>
                </w:p>
              </w:tc>
              <w:tc>
                <w:tcPr>
                  <w:tcW w:w="114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2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10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Reason</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Comment</w:t>
                  </w:r>
                </w:p>
              </w:tc>
            </w:tr>
            <w:tr>
              <w:trPr>
                <w:trHeight w:val="224" w:hRule="atLeast"/>
              </w:trPr>
              <w:tc>
                <w:tcPr>
                  <w:tcW w:w="516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Victorian Registration and Qualification Authority</w:t>
                  </w:r>
                </w:p>
              </w:tc>
              <w:tc>
                <w:tcPr>
                  <w:tcW w:w="114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2018/07/01</w:t>
                  </w:r>
                </w:p>
              </w:tc>
              <w:tc>
                <w:tcPr>
                  <w:tcW w:w="102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2025/06/30</w:t>
                  </w:r>
                </w:p>
              </w:tc>
              <w:tc>
                <w:tcPr>
                  <w:tcW w:w="107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hMerge w:val="continue"/>
          </w:tcPr>
          <w:p>
            <w:pPr>
              <w:pStyle w:val="EmptyCellLayoutStyle"/>
              <w:spacing w:after="0" w:line="240" w:lineRule="auto"/>
            </w:pPr>
          </w:p>
        </w:tc>
        <w:tc>
          <w:tcPr>
            <w:tcW w:w="28" w:type="dxa"/>
            <w:hMerge w:val="continue"/>
          </w:tcPr>
          <w:p>
            <w:pPr>
              <w:pStyle w:val="EmptyCellLayoutStyle"/>
              <w:spacing w:after="0" w:line="240" w:lineRule="auto"/>
            </w:pPr>
          </w:p>
        </w:tc>
      </w:tr>
      <w:tr>
        <w:trPr>
          <w:trHeight w:val="35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4572"/>
            </w:tblGrid>
            <w:tr>
              <w:trPr>
                <w:trHeight w:val="282" w:hRule="atLeast"/>
              </w:trPr>
              <w:tc>
                <w:tcPr>
                  <w:tcW w:w="45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application renew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95"/>
              <w:gridCol w:w="1477"/>
              <w:gridCol w:w="2433"/>
              <w:gridCol w:w="2441"/>
              <w:gridCol w:w="1534"/>
            </w:tblGrid>
            <w:tr>
              <w:trPr>
                <w:trHeight w:val="262" w:hRule="atLeast"/>
              </w:trPr>
              <w:tc>
                <w:tcPr>
                  <w:tcW w:w="15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Start Date</w:t>
                  </w:r>
                </w:p>
              </w:tc>
              <w:tc>
                <w:tcPr>
                  <w:tcW w:w="147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End Date</w:t>
                  </w:r>
                </w:p>
              </w:tc>
              <w:tc>
                <w:tcPr>
                  <w:tcW w:w="243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Renewal application received</w:t>
                  </w:r>
                </w:p>
              </w:tc>
              <w:tc>
                <w:tcPr>
                  <w:tcW w:w="244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Outcome of application</w:t>
                  </w:r>
                </w:p>
              </w:tc>
              <w:tc>
                <w:tcPr>
                  <w:tcW w:w="153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 Of Effect</w:t>
                  </w:r>
                </w:p>
              </w:tc>
            </w:tr>
            <w:tr>
              <w:trPr>
                <w:trHeight w:val="262" w:hRule="atLeast"/>
              </w:trPr>
              <w:tc>
                <w:tcPr>
                  <w:tcW w:w="15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2018/07/01</w:t>
                  </w:r>
                </w:p>
              </w:tc>
              <w:tc>
                <w:tcPr>
                  <w:tcW w:w="147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2025/06/30</w:t>
                  </w:r>
                </w:p>
              </w:tc>
              <w:tc>
                <w:tcPr>
                  <w:tcW w:w="24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c>
                <w:tcPr>
                  <w:tcW w:w="244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5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3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details</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34"/>
              <w:gridCol w:w="5586"/>
            </w:tblGrid>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Content Enquiries</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Ms Nadia Casarotto</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Curriculum Maintenance Manager</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CMM Service Industries (General Studies &amp; Further Education)</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0399195300</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sicmm.generalstudies@vu.edu.au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Victoria University</w:t>
                  </w:r>
                  <w:r>
                    <w:rPr>
                      <w:rFonts w:ascii="Arial" w:hAnsi="Arial" w:eastAsia="Arial"/>
                      <w:b/>
                      <w:color w:val="696969"/>
                      <w:sz w:val="16"/>
                    </w:rPr>
                    <w:br/>
                    <w:t xml:space="preserve">PO Box 14228</w:t>
                  </w:r>
                  <w:r>
                    <w:rPr>
                      <w:rFonts w:ascii="Arial" w:hAnsi="Arial" w:eastAsia="Arial"/>
                      <w:b/>
                      <w:color w:val="696969"/>
                      <w:sz w:val="16"/>
                    </w:rPr>
                    <w:br/>
                    <w:t xml:space="preserve">MELBOURNE CITY MC VIC 8001</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A9A9A9" w:sz="7"/>
                <w:left w:val="nil" w:color="A9A9A9" w:sz="7"/>
                <w:bottom w:val="nil" w:color="A9A9A9" w:sz="7"/>
                <w:right w:val="nil" w:color="A9A9A9" w:sz="7"/>
              </w:tblBorders>
              <w:tblCellMar>
                <w:top w:w="0" w:type="dxa"/>
                <w:left w:w="0" w:type="dxa"/>
                <w:bottom w:w="0" w:type="dxa"/>
                <w:right w:w="0" w:type="dxa"/>
              </w:tblCellMar>
            </w:tblPr>
            <w:tblGrid>
              <w:gridCol w:w="9503"/>
            </w:tblGrid>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Ms Nadia Casarotto</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2019/03/15</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Curriculum Maintenance Manager</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CMM Service Industries (General Studies &amp; Further Education)</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0399195300</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sicmm.generalstudies@vu.edu.au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 University</w:t>
                        </w:r>
                        <w:r>
                          <w:rPr>
                            <w:rFonts w:ascii="Arial" w:hAnsi="Arial" w:eastAsia="Arial"/>
                            <w:b/>
                            <w:color w:val="696969"/>
                            <w:sz w:val="16"/>
                          </w:rPr>
                          <w:br/>
                          <w:t xml:space="preserve">PO Box 14228</w:t>
                        </w:r>
                        <w:r>
                          <w:rPr>
                            <w:rFonts w:ascii="Arial" w:hAnsi="Arial" w:eastAsia="Arial"/>
                            <w:b/>
                            <w:color w:val="696969"/>
                            <w:sz w:val="16"/>
                          </w:rPr>
                          <w:br/>
                          <w:t xml:space="preserve">MELBOURNE CITY MC VIC 8001</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Eduard de Hue</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2018/08/10</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2019/03/14</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Manager, Program Management</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0370221563</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dehue.eduard.j@edumail.vic.gov.au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Sector Operations</w:t>
                        </w:r>
                        <w:r>
                          <w:rPr>
                            <w:rFonts w:ascii="Arial" w:hAnsi="Arial" w:eastAsia="Arial"/>
                            <w:b/>
                            <w:color w:val="696969"/>
                            <w:sz w:val="16"/>
                          </w:rPr>
                          <w:br/>
                          <w:t xml:space="preserve">Higher Education and Skills Group GPO Box 4367</w:t>
                        </w:r>
                        <w:r>
                          <w:rPr>
                            <w:rFonts w:ascii="Arial" w:hAnsi="Arial" w:eastAsia="Arial"/>
                            <w:b/>
                            <w:color w:val="696969"/>
                            <w:sz w:val="16"/>
                          </w:rPr>
                          <w:br/>
                          <w:t xml:space="preserve">MELBOURNE VIC 3001</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Lee Carter</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2018/08/09</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2018/08/09</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Manager, Training Products Unit</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Department of Education and Training</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131823</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course.enquiry@edumail.vic.gov.au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Higher Education and Skills Group</w:t>
                        </w:r>
                        <w:r>
                          <w:rPr>
                            <w:rFonts w:ascii="Arial" w:hAnsi="Arial" w:eastAsia="Arial"/>
                            <w:b/>
                            <w:color w:val="696969"/>
                            <w:sz w:val="16"/>
                          </w:rPr>
                          <w:br/>
                          <w:t xml:space="preserve">GPO Box 4367</w:t>
                        </w:r>
                        <w:r>
                          <w:rPr>
                            <w:rFonts w:ascii="Arial" w:hAnsi="Arial" w:eastAsia="Arial"/>
                            <w:b/>
                            <w:color w:val="696969"/>
                            <w:sz w:val="16"/>
                          </w:rPr>
                          <w:br/>
                          <w:t xml:space="preserve">MELBOURNE VIC 3001</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r>
              <w:trPr>
                <w:trHeight w:val="2766"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Ms Nadia Casarotto</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2018/07/01</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2018/08/08</w:t>
                        </w: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Curriculum Maintenance Manager</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CMM Service Industries (General Studies &amp; Further Education)</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0399195300</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sicmm.generalstudies@vu.edu.au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Victoria University</w:t>
                        </w:r>
                        <w:r>
                          <w:rPr>
                            <w:rFonts w:ascii="Arial" w:hAnsi="Arial" w:eastAsia="Arial"/>
                            <w:b/>
                            <w:color w:val="696969"/>
                            <w:sz w:val="16"/>
                          </w:rPr>
                          <w:br/>
                          <w:t xml:space="preserve">PO Box 14228</w:t>
                        </w:r>
                        <w:r>
                          <w:rPr>
                            <w:rFonts w:ascii="Arial" w:hAnsi="Arial" w:eastAsia="Arial"/>
                            <w:b/>
                            <w:color w:val="696969"/>
                            <w:sz w:val="16"/>
                          </w:rPr>
                          <w:br/>
                          <w:t xml:space="preserve">MELBOURNE CITY MC VIC 8001</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62"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93"/>
              <w:gridCol w:w="5455"/>
              <w:gridCol w:w="1417"/>
              <w:gridCol w:w="1116"/>
            </w:tblGrid>
            <w:tr>
              <w:trPr>
                <w:trHeight w:val="238" w:hRule="atLeast"/>
              </w:trPr>
              <w:tc>
                <w:tcPr>
                  <w:tcW w:w="14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545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11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measurements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personal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employment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learning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VU22350</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employment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numbers and money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VU22349</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learning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VU22348</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personal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locate simple numerical information in short, simple highly familiar texts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to participate in the community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short simple spoken interactions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give and follow simple and familiar directions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to participate in the community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locate numerical information in simple, highly familiar tables and graphs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VU22355</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shape and design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learning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3163"/>
            </w:tblGrid>
            <w:tr>
              <w:trPr>
                <w:trHeight w:val="282" w:hRule="atLeast"/>
              </w:trPr>
              <w:tc>
                <w:tcPr>
                  <w:tcW w:w="31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15"/>
              <w:gridCol w:w="4193"/>
              <w:gridCol w:w="1417"/>
              <w:gridCol w:w="1221"/>
              <w:gridCol w:w="1135"/>
            </w:tblGrid>
            <w:tr>
              <w:trPr>
                <w:trHeight w:val="238" w:hRule="atLeast"/>
              </w:trPr>
              <w:tc>
                <w:tcPr>
                  <w:tcW w:w="151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1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22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13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measurements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personal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employment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for learning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VU22350</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employment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numbers and money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VU22349</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learning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VU22348</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for personal purposes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locate simple numerical information in short, simple highly familiar texts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Engage with short simple texts to participate in the community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short simple spoken interactions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give and follow simple and familiar directions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Create short simple texts to participate in the community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and locate numerical information in simple, highly familiar tables and graphs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VU22355</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Recognise shape and design in simple, highly familiar situations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VU22342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learning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2018/05/10</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865"/>
              <w:gridCol w:w="1225"/>
              <w:gridCol w:w="2412"/>
            </w:tblGrid>
            <w:tr>
              <w:trPr>
                <w:trHeight w:val="238" w:hRule="atLeast"/>
              </w:trPr>
              <w:tc>
                <w:tcPr>
                  <w:tcW w:w="586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22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41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GEN19</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 not occupationally specific</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1201</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Programmes</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991</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Statement Of Attainment Not Identifiable By Level</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r>
          </w:tbl>
          <w:p>
            <w:pPr>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32"/>
              <w:gridCol w:w="953"/>
              <w:gridCol w:w="1982"/>
              <w:gridCol w:w="1074"/>
              <w:gridCol w:w="960"/>
            </w:tblGrid>
            <w:tr>
              <w:trPr>
                <w:trHeight w:val="238" w:hRule="atLeast"/>
              </w:trPr>
              <w:tc>
                <w:tcPr>
                  <w:tcW w:w="453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9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198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07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9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GEN19</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 not occupationally specific</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1201</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General Education Programmes</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991</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Statement Of Attainment Not Identifiable By Level</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Statr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60"/>
      <w:gridCol w:w="3974"/>
      <w:gridCol w:w="1738"/>
      <w:gridCol w:w="4018"/>
    </w:tblGrid>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r>
      <w:trPr/>
      <w:tc>
        <w:tcPr>
          <w:tcW w:w="139" w:type="dxa"/>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3974" w:type="dxa"/>
          <w:tcBorders>
            <w:top w:val="single" w:color="00008B" w:sz="15"/>
          </w:tcBorders>
        </w:tcPr>
        <w:p>
          <w:pPr>
            <w:pStyle w:val="EmptyCellLayoutStyle"/>
            <w:spacing w:after="0" w:line="240" w:lineRule="auto"/>
          </w:pPr>
        </w:p>
      </w:tc>
      <w:tc>
        <w:tcPr>
          <w:tcW w:w="173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02:13 AM</w:t>
                </w:r>
              </w:p>
            </w:tc>
          </w:tr>
        </w:tbl>
        <w:p>
          <w:pPr>
            <w:spacing w:after="0" w:line="240" w:lineRule="auto"/>
          </w:pPr>
        </w:p>
      </w:tc>
      <w:tc>
        <w:tcPr>
          <w:tcW w:w="173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AccreditedCoursePrintReport</dc:title>
</cp:coreProperties>
</file>