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83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CPPSS00078 - Security business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9.0 - 10.3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BSBADM409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resources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BSBHRM405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the recruitment, selection and induction of staff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BSBWOR404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 priorities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CPPSEC4023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contracting arrangements for security businesses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06:12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