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03B" w:rsidRDefault="0045003B" w:rsidP="0045003B">
      <w:pPr>
        <w:pStyle w:val="Title"/>
      </w:pPr>
      <w:fldSimple w:instr=" TITLE   \* MERGEFORMAT ">
        <w:r>
          <w:t>Assessment Requirements for TLILIC4011 Licence to operate a slewing mobile crane (over 100 tonnes)</w:t>
        </w:r>
      </w:fldSimple>
    </w:p>
    <w:p w:rsidR="0045003B" w:rsidRDefault="0045003B" w:rsidP="0045003B">
      <w:pPr>
        <w:pStyle w:val="Version"/>
        <w:sectPr w:rsidR="0045003B" w:rsidSect="00750C7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50C74" w:rsidRDefault="0045003B" w:rsidP="00750C74">
      <w:pPr>
        <w:pStyle w:val="SuperHeading"/>
      </w:pPr>
      <w:r w:rsidRPr="00750C74">
        <w:lastRenderedPageBreak/>
        <w:t>Assessment Requirements for TLILIC4011 Licence to operate a slewing mobile crane (over 100 tonnes)</w:t>
      </w:r>
    </w:p>
    <w:p w:rsidR="00000000" w:rsidRPr="00750C74" w:rsidRDefault="0045003B" w:rsidP="00750C74">
      <w:pPr>
        <w:pStyle w:val="Heading1"/>
      </w:pPr>
      <w:bookmarkStart w:id="1" w:name="O_829602"/>
      <w:bookmarkEnd w:id="1"/>
      <w:r w:rsidRPr="00750C74">
        <w:t>Modification History</w:t>
      </w:r>
    </w:p>
    <w:p w:rsidR="0045003B" w:rsidRDefault="0045003B" w:rsidP="0045003B">
      <w:pPr>
        <w:pStyle w:val="BodyText"/>
      </w:pPr>
      <w:r w:rsidRPr="00750C74">
        <w:t>Release 1. This is the first release of this unit of competency in the TLI Transport and Logistics Training Package.</w:t>
      </w:r>
    </w:p>
    <w:p w:rsidR="00000000" w:rsidRPr="00750C74" w:rsidRDefault="0045003B" w:rsidP="00750C74">
      <w:pPr>
        <w:pStyle w:val="Heading1"/>
      </w:pPr>
      <w:bookmarkStart w:id="2" w:name="O_829603"/>
      <w:bookmarkEnd w:id="2"/>
      <w:r w:rsidRPr="00750C74">
        <w:t>Performance Evidence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0758"/>
      </w:tblGrid>
      <w:tr w:rsidR="00000000" w:rsidTr="0045003B">
        <w:trPr>
          <w:trHeight w:val="10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5003B" w:rsidP="00750C74">
            <w:pPr>
              <w:pStyle w:val="BodyText"/>
              <w:rPr>
                <w:lang w:val="en-NZ"/>
              </w:rPr>
            </w:pPr>
            <w:r w:rsidRPr="00750C74">
              <w:t>A person who demonstrates competency in this unit must provide evidence of safely operating a slewing mobile crane over 100 tonnes and satisfy all of the elements, performance criteria and foundation skills requirements</w:t>
            </w:r>
            <w:r w:rsidRPr="00750C74">
              <w:t xml:space="preserve"> of the unit on at least one occasion including:</w:t>
            </w:r>
          </w:p>
        </w:tc>
      </w:tr>
      <w:tr w:rsidR="00000000" w:rsidRPr="00750C74" w:rsidTr="0045003B">
        <w:trPr>
          <w:trHeight w:val="19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50C74" w:rsidRDefault="0045003B" w:rsidP="00750C74">
            <w:pPr>
              <w:pStyle w:val="ListBullet"/>
            </w:pPr>
            <w:r w:rsidRPr="00750C74">
              <w:t>applying appropriate mathematical procedures to estimate loads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applying best mobile practice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boom/jib as low as possible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boom/jib in line with crane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carrying load near to ground surface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gently accelerating and braking (to minimise load swing)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facing load uphill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minimum boom/jib length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minimum speed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using handheld taglines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applying hazard prevention/control measures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adequate illumination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disconnected power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insulated electric l</w:t>
            </w:r>
            <w:r w:rsidRPr="00750C74">
              <w:t>ines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moving obstructions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pedestrian barricades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personal protective equipment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using safety observer inside exclusion zone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safety tags on electrical switches/isolators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traffic barricades and control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trench covers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 xml:space="preserve">applying risk assessment and hazard control strategies, including hierarchy of control as applied to positioning and safely operating a crane 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 xml:space="preserve">applying risk assessment and management procedures 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 xml:space="preserve">communicating with other workplace personnel through: 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appro</w:t>
            </w:r>
            <w:r w:rsidRPr="00750C74">
              <w:t>priate worksite protocols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lastRenderedPageBreak/>
              <w:t>bells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buzzers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 xml:space="preserve">hand signals 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listening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making and interpreting hand signals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questioning to confirm understanding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signage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two-way radios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verbal and non-verbal language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written instructions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whistles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completing the pre-operational check, positioning, stabilising, set up, operation, post-operational checks of a mobile crane including all functions to their maximum extension in lifting and moving loads to the safe working rated capacity of a slewing mobi</w:t>
            </w:r>
            <w:r w:rsidRPr="00750C74">
              <w:t>le crane over 100 tonnes capacity in conjunction with other associated personnel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complying with WHS/OHS licensing legislation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loading data into crane computer as required and checking operation to accurately reflect the crane configuration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operating a slew</w:t>
            </w:r>
            <w:r w:rsidRPr="00750C74">
              <w:t>ing mobile crane over 100 tonnes capacity to lift and move loads to the safe working rated capacity while applying relevant crane movements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boom/jib up and down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operation of outriggers/stabilisers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raise and lower hoist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slew boom/jib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telescope i</w:t>
            </w:r>
            <w:r w:rsidRPr="00750C74">
              <w:t>n and out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travel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receiving and interpreting workplace instructions, safety information, emergency procedures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recording and maintaining accurate information relating to crane operations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shutting down a slewing mobile crane over 100 tonnes capacity in accordance with manufacturer specifications and workplace procedures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idling engine to stabilise temperature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locking and securing cabin as required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positioning/securing boom/jib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re</w:t>
            </w:r>
            <w:r w:rsidRPr="00750C74">
              <w:t>moving key from ignition as required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retracting boom/jib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 xml:space="preserve">retracting hoist rope and hook block 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 xml:space="preserve">retracting outriggers/stabilisers 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 xml:space="preserve">securing crane for travel 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turning off engine as required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 xml:space="preserve">stabilising a slewing mobile crane by: 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correctly positioning plates or packing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lastRenderedPageBreak/>
              <w:t>deploying outriggers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establishing correct size plates or packing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test\--lifting load just clear of lifting plane to ensure: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adjustments to slinging can be made in a safe manner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all crane equipment is functioning pr</w:t>
            </w:r>
            <w:r w:rsidRPr="00750C74">
              <w:t>operly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load measuring equipment can be used to verify calculated weight of load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loads of unusual shape or weight distribution are correctly slung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near capacity loads do not overload crane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 xml:space="preserve">using and interpreting crane manufacturer specifications and data, </w:t>
            </w:r>
            <w:r w:rsidRPr="00750C74">
              <w:t>including load charts, to enable crane to be configured for load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boom/jib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counterweights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fly-jib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using communications signals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stop – hand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stop – whistle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hoist up – hand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hoist up – whistle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hoist down – hand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hoist down – whistle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luff boom down – hand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luff boom down whistle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luff boom up – hand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luff boom up whistle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telescope out – hand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telescope out - whistle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telescope in – hand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telescope in whistle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slew left – hand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slew left – whistle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slew right – hand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slew right – whistle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travel –</w:t>
            </w:r>
            <w:r w:rsidRPr="00750C74">
              <w:t xml:space="preserve"> hand 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verifying problems and equipment faults, and applying appropriate response procedures to unplanned and/or unsafe situations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 xml:space="preserve">environmental conditions (e.g. wind, lightning, storms, etc.) 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failure of equipment (e.g. hydraulic system)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fail</w:t>
            </w:r>
            <w:r w:rsidRPr="00750C74">
              <w:t>ure/loss of control (e.g. brakes and steering)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obstacles and obstructions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unusual or difficult terrains.</w:t>
            </w:r>
          </w:p>
        </w:tc>
      </w:tr>
    </w:tbl>
    <w:p w:rsidR="0045003B" w:rsidRDefault="0045003B" w:rsidP="00750C74">
      <w:pPr>
        <w:pStyle w:val="BodyText"/>
      </w:pPr>
    </w:p>
    <w:p w:rsidR="0045003B" w:rsidRDefault="0045003B" w:rsidP="00750C74">
      <w:pPr>
        <w:pStyle w:val="BodyText"/>
      </w:pPr>
    </w:p>
    <w:p w:rsidR="00000000" w:rsidRPr="00750C74" w:rsidRDefault="0045003B" w:rsidP="00750C74">
      <w:pPr>
        <w:pStyle w:val="Heading1"/>
      </w:pPr>
      <w:bookmarkStart w:id="3" w:name="O_829604"/>
      <w:bookmarkEnd w:id="3"/>
      <w:r w:rsidRPr="00750C74">
        <w:t>Knowledge Evidence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493"/>
      </w:tblGrid>
      <w:tr w:rsidR="00000000" w:rsidTr="0045003B">
        <w:trPr>
          <w:trHeight w:val="11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5003B" w:rsidP="00750C74">
            <w:pPr>
              <w:pStyle w:val="BodyText"/>
              <w:rPr>
                <w:lang w:val="en-NZ"/>
              </w:rPr>
            </w:pPr>
            <w:r w:rsidRPr="00750C74">
              <w:t>Evidence required to demonstrate competence in this unit must be relevant to and satisfy all of the requirements of the elements and performance criteria and include knowledge of:</w:t>
            </w:r>
          </w:p>
        </w:tc>
      </w:tr>
      <w:tr w:rsidR="00000000" w:rsidRPr="00750C74" w:rsidTr="0045003B">
        <w:trPr>
          <w:trHeight w:val="28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50C74" w:rsidRDefault="0045003B" w:rsidP="00750C74">
            <w:pPr>
              <w:pStyle w:val="ListBullet"/>
            </w:pPr>
            <w:r w:rsidRPr="00750C74">
              <w:t>appropriate mathematical procedures for estimating and measuring loads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Aus</w:t>
            </w:r>
            <w:r w:rsidRPr="00750C74">
              <w:t>tralian and industry standards relevant to operating a slewing mobile crane (over 100 tonnes)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Commonwealth, state or territory WHS/OHS legislation, standards and codes of practice relevant to the full range of processes for the crane class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crane rated capa</w:t>
            </w:r>
            <w:r w:rsidRPr="00750C74">
              <w:t>city and lifting gear working load limits (including use of crane load charts)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ground suitability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backfilled ground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bitumen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concrete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hard compacted soil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rock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rough uneven ground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soft soils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hazards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environmental conditions (e.g. wind, lightning, storms, etc.)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ground stability (e.g. ground condition, recently filled trenches, slopes)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insufficient lighting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obstacles or obstruction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other specific hazards (e.g. dangerous materials)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overhead hazards (e.g. electric lines, service pipes)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traffic (e.g. pedestrians, vehicles, other plant)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unusual or difficult terrains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hierarchy of hazard identification and control: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elimination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substitution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isolation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 xml:space="preserve">engineering controls 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 xml:space="preserve">administrative </w:t>
            </w:r>
            <w:r w:rsidRPr="00750C74">
              <w:t>controls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personal protective equipment (PPE)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 xml:space="preserve">mobile slewing crane characteristics and </w:t>
            </w:r>
            <w:r w:rsidRPr="00750C74">
              <w:rPr>
                <w:rStyle w:val="Emphasis"/>
              </w:rPr>
              <w:t>capabilities</w:t>
            </w:r>
            <w:r w:rsidRPr="00750C74">
              <w:t xml:space="preserve"> to allow crane configuration to suit the range of loads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organisational and workplace standards, requirements, policies and procedures for conducting operati</w:t>
            </w:r>
            <w:r w:rsidRPr="00750C74">
              <w:t>ons for the crane class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procedures for recording, reporting and maintaining workplace records and information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risks associated with overhead electric lines/electrical cables, wind, erection, pack up and crane stability, ground conditions, crane tipping and</w:t>
            </w:r>
            <w:r w:rsidRPr="00750C74">
              <w:t xml:space="preserve"> demolition sites 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systematic process of eliminating or reducing risk to personnel and property through the application of controls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typical routine problems encountered in the process and with equipment, and adjustments required for correction.</w:t>
            </w:r>
          </w:p>
        </w:tc>
      </w:tr>
    </w:tbl>
    <w:p w:rsidR="00000000" w:rsidRPr="00750C74" w:rsidRDefault="0045003B" w:rsidP="00750C74">
      <w:pPr>
        <w:pStyle w:val="BodyText"/>
      </w:pPr>
    </w:p>
    <w:p w:rsidR="00000000" w:rsidRPr="00750C74" w:rsidRDefault="0045003B" w:rsidP="00750C74">
      <w:pPr>
        <w:pStyle w:val="AllowPageBreak"/>
      </w:pPr>
    </w:p>
    <w:p w:rsidR="00000000" w:rsidRPr="00750C74" w:rsidRDefault="0045003B" w:rsidP="00750C74">
      <w:pPr>
        <w:pStyle w:val="Heading1"/>
      </w:pPr>
      <w:bookmarkStart w:id="4" w:name="O_829605"/>
      <w:bookmarkEnd w:id="4"/>
      <w:r w:rsidRPr="00750C74">
        <w:t>Assessment Conditions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598"/>
      </w:tblGrid>
      <w:tr w:rsidR="00000000" w:rsidRPr="00750C74" w:rsidTr="0045003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50C74" w:rsidRDefault="0045003B" w:rsidP="00750C74">
            <w:pPr>
              <w:pStyle w:val="BodyText"/>
            </w:pPr>
            <w:r w:rsidRPr="00750C74">
              <w:t>Assessments must be conducted by an assessor accredited for this high risk work (HRW) licence class in the Commonwealth/state/territory where the licence will be obtained (i.e. an assessor authorised by a Commonwealth/state/te</w:t>
            </w:r>
            <w:r w:rsidRPr="00750C74">
              <w:t>rritory WHS/OHS regulator).</w:t>
            </w:r>
          </w:p>
          <w:p w:rsidR="00000000" w:rsidRPr="00750C74" w:rsidRDefault="0045003B" w:rsidP="00750C74">
            <w:pPr>
              <w:pStyle w:val="BodyText"/>
            </w:pPr>
            <w:r w:rsidRPr="00750C74">
              <w:t xml:space="preserve">As a minimum, assessors must satisfy applicable regulatory requirements, which may include requirements in the </w:t>
            </w:r>
            <w:r w:rsidRPr="00750C74">
              <w:rPr>
                <w:rStyle w:val="Emphasis"/>
              </w:rPr>
              <w:t>Standards for</w:t>
            </w:r>
            <w:r w:rsidRPr="00750C74">
              <w:t xml:space="preserve"> </w:t>
            </w:r>
            <w:r w:rsidRPr="00750C74">
              <w:rPr>
                <w:rStyle w:val="Emphasis"/>
              </w:rPr>
              <w:t>Registered Training Organisations</w:t>
            </w:r>
            <w:r w:rsidRPr="00750C74">
              <w:t xml:space="preserve"> current at the time of assessment.</w:t>
            </w:r>
          </w:p>
          <w:p w:rsidR="00000000" w:rsidRPr="00750C74" w:rsidRDefault="0045003B" w:rsidP="00750C74">
            <w:pPr>
              <w:pStyle w:val="BodyText"/>
            </w:pPr>
            <w:r w:rsidRPr="00750C74">
              <w:t>Assessment processes and technique</w:t>
            </w:r>
            <w:r w:rsidRPr="00750C74">
              <w:t>s must be appropriate to the language, literacy and numeracy requirements of the work being performed and all assessment must be conducted in the English language.</w:t>
            </w:r>
          </w:p>
          <w:p w:rsidR="00000000" w:rsidRPr="00750C74" w:rsidRDefault="0045003B" w:rsidP="00750C74">
            <w:pPr>
              <w:pStyle w:val="BodyText"/>
            </w:pPr>
            <w:r w:rsidRPr="00750C74">
              <w:t>Assessment of performance must be undertaken in the workplace and/or under realistic workpla</w:t>
            </w:r>
            <w:r w:rsidRPr="00750C74">
              <w:t>ce conditions which typically reflect: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performing tasks/activities within timelines that would be expected in a workplace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standard and authorised work practices, safety requirements and environmental constraints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using full-scale equipment.</w:t>
            </w:r>
          </w:p>
          <w:p w:rsidR="00000000" w:rsidRPr="00750C74" w:rsidRDefault="0045003B" w:rsidP="00750C74">
            <w:pPr>
              <w:pStyle w:val="BodyText"/>
            </w:pPr>
            <w:r w:rsidRPr="00750C74">
              <w:t xml:space="preserve">Slewing mobile </w:t>
            </w:r>
            <w:r w:rsidRPr="00750C74">
              <w:t>crane (over 100 tonnes) operation assessment must be conducted in a working zone in accordance with state/territory arrangements.</w:t>
            </w:r>
          </w:p>
          <w:p w:rsidR="00000000" w:rsidRPr="00750C74" w:rsidRDefault="0045003B" w:rsidP="00750C74">
            <w:pPr>
              <w:pStyle w:val="BodyText"/>
            </w:pPr>
            <w:r w:rsidRPr="00750C74">
              <w:t>If the working zone is located at a ‘live’ site, assessment should continue in all weather conditions unless the safety of the</w:t>
            </w:r>
            <w:r w:rsidRPr="00750C74">
              <w:t xml:space="preserve"> candidate or others could be compromised.</w:t>
            </w:r>
          </w:p>
          <w:p w:rsidR="00000000" w:rsidRPr="00750C74" w:rsidRDefault="0045003B" w:rsidP="00750C74">
            <w:pPr>
              <w:pStyle w:val="BodyText"/>
            </w:pPr>
            <w:r w:rsidRPr="00750C74">
              <w:t xml:space="preserve">Simulators must </w:t>
            </w:r>
            <w:r w:rsidRPr="00750C74">
              <w:rPr>
                <w:rStyle w:val="SpecialBold"/>
              </w:rPr>
              <w:t xml:space="preserve">not </w:t>
            </w:r>
            <w:r w:rsidRPr="00750C74">
              <w:t xml:space="preserve">be used in the assessment of this unit of competency. </w:t>
            </w:r>
          </w:p>
          <w:p w:rsidR="00000000" w:rsidRPr="00750C74" w:rsidRDefault="0045003B" w:rsidP="00750C74">
            <w:pPr>
              <w:pStyle w:val="BodyText"/>
            </w:pPr>
            <w:r w:rsidRPr="00750C74">
              <w:t>Accredited assessors are responsible for ensuring candidates have access to: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 xml:space="preserve">appropriate slewing mobile crane over 100 tonnes in </w:t>
            </w:r>
            <w:r w:rsidRPr="00750C74">
              <w:t>capacity and associated equipment in safe condition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appropriate personnel to sling and direct loads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doggers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riggers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communications equipment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bells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buzzers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two-way radios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whistles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controls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boom extension levers (where f</w:t>
            </w:r>
            <w:r w:rsidRPr="00750C74">
              <w:t>itted)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hoisting and lowering levers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luffing levers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slewing levers including brake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required personal protective equipment (PPE) for the purpose of the Performance Assessment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lastRenderedPageBreak/>
              <w:t>safety devices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audible and visual reversing devices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horns/sirens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lights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 xml:space="preserve">operator restraint devices 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signage and labels including: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crane data plates/labels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load charts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crane decals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control labels</w:t>
            </w:r>
          </w:p>
          <w:p w:rsidR="00000000" w:rsidRPr="00750C74" w:rsidRDefault="0045003B" w:rsidP="00750C74">
            <w:pPr>
              <w:pStyle w:val="ListBullet"/>
            </w:pPr>
            <w:r w:rsidRPr="00750C74">
              <w:t>where appropriate relevant workplace procedures and standards for operating a slewing mobile crane over 100 tonnes incl</w:t>
            </w:r>
            <w:r w:rsidRPr="00750C74">
              <w:t>uding: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approved codes of practice and guidance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Australian Standards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 xml:space="preserve">checklists 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history record system where service and maintenance history is kept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industry operating procedures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 xml:space="preserve">manufacturer guidelines (instructions, specifications or checklists) for the </w:t>
            </w:r>
            <w:r w:rsidRPr="00750C74">
              <w:t>purposes of the Performance Assessment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relevant industry standards (where appliocable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service book</w:t>
            </w:r>
          </w:p>
          <w:p w:rsidR="00000000" w:rsidRPr="00750C74" w:rsidRDefault="0045003B" w:rsidP="00750C74">
            <w:pPr>
              <w:pStyle w:val="ListBullet2"/>
            </w:pPr>
            <w:r w:rsidRPr="00750C74">
              <w:t>safe work method statement (SWMS), as required.</w:t>
            </w:r>
          </w:p>
        </w:tc>
      </w:tr>
    </w:tbl>
    <w:p w:rsidR="00000000" w:rsidRPr="00750C74" w:rsidRDefault="0045003B" w:rsidP="00750C74">
      <w:pPr>
        <w:pStyle w:val="BodyText"/>
      </w:pPr>
    </w:p>
    <w:p w:rsidR="00000000" w:rsidRPr="00750C74" w:rsidRDefault="0045003B" w:rsidP="00750C74">
      <w:pPr>
        <w:pStyle w:val="AllowPageBreak"/>
      </w:pPr>
    </w:p>
    <w:p w:rsidR="00000000" w:rsidRPr="00750C74" w:rsidRDefault="0045003B" w:rsidP="00750C74">
      <w:pPr>
        <w:pStyle w:val="Heading1"/>
      </w:pPr>
      <w:bookmarkStart w:id="5" w:name="O_829608"/>
      <w:bookmarkEnd w:id="5"/>
      <w:r w:rsidRPr="00750C74">
        <w:t>Links</w:t>
      </w:r>
    </w:p>
    <w:p w:rsidR="00000000" w:rsidRPr="00750C74" w:rsidRDefault="0045003B" w:rsidP="0045003B">
      <w:pPr>
        <w:pStyle w:val="BodyText"/>
      </w:pPr>
      <w:r w:rsidRPr="00750C74">
        <w:t xml:space="preserve">Companion Volume implementation guides are found in VETNet - </w:t>
      </w:r>
      <w:hyperlink r:id="rId13" w:history="1">
        <w:r w:rsidRPr="00607DC6">
          <w:rPr>
            <w:rStyle w:val="Hyperlink"/>
          </w:rPr>
          <w:t>https://vetnet.gov.au/Pages/TrainingDocs.aspx?q=df441c6e-213d-43e3-874c-0b3f7036d851</w:t>
        </w:r>
      </w:hyperlink>
    </w:p>
    <w:p w:rsidR="00000000" w:rsidRPr="00750C74" w:rsidRDefault="0045003B" w:rsidP="00750C74"/>
    <w:sectPr w:rsidR="00000000" w:rsidRPr="00750C74" w:rsidSect="00750C74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C74" w:rsidRDefault="00750C74" w:rsidP="00750C74">
      <w:r>
        <w:separator/>
      </w:r>
    </w:p>
  </w:endnote>
  <w:endnote w:type="continuationSeparator" w:id="0">
    <w:p w:rsidR="00750C74" w:rsidRDefault="00750C74" w:rsidP="00750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C74" w:rsidRDefault="00750C7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C74" w:rsidRPr="0045003B" w:rsidRDefault="00750C74" w:rsidP="0045003B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C74" w:rsidRDefault="00750C7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03B" w:rsidRDefault="0045003B" w:rsidP="00750C7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5</w:t>
    </w:r>
    <w:r>
      <w:rPr>
        <w:noProof/>
      </w:rPr>
      <w:fldChar w:fldCharType="end"/>
    </w:r>
  </w:p>
  <w:p w:rsidR="0045003B" w:rsidRDefault="0045003B" w:rsidP="00750C7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45003B" w:rsidRDefault="0045003B" w:rsidP="00750C7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C74" w:rsidRDefault="00750C74" w:rsidP="00750C74">
      <w:r>
        <w:separator/>
      </w:r>
    </w:p>
  </w:footnote>
  <w:footnote w:type="continuationSeparator" w:id="0">
    <w:p w:rsidR="00750C74" w:rsidRDefault="00750C74" w:rsidP="00750C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C74" w:rsidRDefault="00750C7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03B" w:rsidRDefault="0045003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8FFD122" wp14:editId="090701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0C74" w:rsidRPr="0045003B" w:rsidRDefault="00750C74" w:rsidP="0045003B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C74" w:rsidRDefault="00750C7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03B" w:rsidRPr="002D2AF8" w:rsidRDefault="0045003B" w:rsidP="00750C74">
    <w:pPr>
      <w:pStyle w:val="Header"/>
      <w:framePr w:wrap="around"/>
    </w:pPr>
    <w:fldSimple w:instr=" TITLE   \* MERGEFORMAT ">
      <w:r>
        <w:t>Assessment Requirements for TLILIC4011 Licence to operate a slewing mobile crane (over 100 tonnes)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16 February 2021</w:t>
    </w:r>
    <w:r>
      <w:fldChar w:fldCharType="end"/>
    </w:r>
  </w:p>
  <w:p w:rsidR="0045003B" w:rsidRDefault="0045003B" w:rsidP="00750C7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7F54450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581CA2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4A563E0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50C74"/>
    <w:rsid w:val="0045003B"/>
    <w:rsid w:val="0075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C7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50C7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50C7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50C7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50C7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50C7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50C7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50C7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50C7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50C7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50C7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50C74"/>
  </w:style>
  <w:style w:type="character" w:customStyle="1" w:styleId="Heading1Char">
    <w:name w:val="Heading 1 Char"/>
    <w:basedOn w:val="DefaultParagraphFont"/>
    <w:link w:val="Heading1"/>
    <w:rsid w:val="00750C7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50C7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50C7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750C74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50C74"/>
    <w:rPr>
      <w:b/>
      <w:spacing w:val="0"/>
    </w:rPr>
  </w:style>
  <w:style w:type="paragraph" w:styleId="ListBullet2">
    <w:name w:val="List Bullet 2"/>
    <w:basedOn w:val="List2"/>
    <w:rsid w:val="00750C74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750C74"/>
    <w:rPr>
      <w:i/>
    </w:rPr>
  </w:style>
  <w:style w:type="paragraph" w:customStyle="1" w:styleId="SuperHeading">
    <w:name w:val="SuperHeading"/>
    <w:basedOn w:val="Normal"/>
    <w:rsid w:val="00750C7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50C7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50C7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50C7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50C7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50C7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50C7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50C7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50C7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50C7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50C7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50C7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50C7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50C7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50C7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50C7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50C7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50C7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50C7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50C7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50C7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750C7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50C7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50C7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50C7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750C7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50C7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50C7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50C7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50C7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50C7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50C7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50C7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50C74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750C7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50C7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50C7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50C74"/>
  </w:style>
  <w:style w:type="paragraph" w:styleId="TableofFigures">
    <w:name w:val="table of figures"/>
    <w:basedOn w:val="Normal"/>
    <w:next w:val="Normal"/>
    <w:semiHidden/>
    <w:rsid w:val="00750C7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50C74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750C74"/>
    <w:rPr>
      <w:rFonts w:ascii="Wingdings" w:hAnsi="Wingdings"/>
    </w:rPr>
  </w:style>
  <w:style w:type="paragraph" w:customStyle="1" w:styleId="TableHeading">
    <w:name w:val="Table Heading"/>
    <w:basedOn w:val="HeadingBase"/>
    <w:rsid w:val="00750C7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50C74"/>
    <w:rPr>
      <w:color w:val="0033CC"/>
      <w:u w:val="none"/>
    </w:rPr>
  </w:style>
  <w:style w:type="paragraph" w:customStyle="1" w:styleId="BodyTextRight">
    <w:name w:val="Body Text Right"/>
    <w:basedOn w:val="BodyText"/>
    <w:rsid w:val="00750C7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50C7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50C74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50C7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50C7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50C7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50C74"/>
    <w:rPr>
      <w:sz w:val="32"/>
    </w:rPr>
  </w:style>
  <w:style w:type="paragraph" w:customStyle="1" w:styleId="HeadingProcedure">
    <w:name w:val="Heading Procedure"/>
    <w:basedOn w:val="HeadingBase"/>
    <w:next w:val="Normal"/>
    <w:rsid w:val="00750C7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50C74"/>
    <w:pPr>
      <w:spacing w:before="60" w:after="60"/>
    </w:pPr>
  </w:style>
  <w:style w:type="paragraph" w:styleId="ListContinue">
    <w:name w:val="List Continue"/>
    <w:basedOn w:val="List"/>
    <w:rsid w:val="00750C74"/>
    <w:pPr>
      <w:ind w:firstLine="0"/>
    </w:pPr>
  </w:style>
  <w:style w:type="paragraph" w:customStyle="1" w:styleId="ListNote">
    <w:name w:val="List Note"/>
    <w:basedOn w:val="List"/>
    <w:rsid w:val="00750C7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50C7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50C7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50C74"/>
    <w:rPr>
      <w:rFonts w:ascii="Courier New" w:hAnsi="Courier New"/>
    </w:rPr>
  </w:style>
  <w:style w:type="paragraph" w:customStyle="1" w:styleId="NoteBullet">
    <w:name w:val="Note Bullet"/>
    <w:basedOn w:val="Note"/>
    <w:rsid w:val="00750C7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50C7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50C7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50C7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50C74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750C7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50C7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50C74"/>
    <w:rPr>
      <w:b/>
      <w:smallCaps/>
    </w:rPr>
  </w:style>
  <w:style w:type="paragraph" w:customStyle="1" w:styleId="TableListNumber">
    <w:name w:val="Table List Number"/>
    <w:basedOn w:val="ListNumber"/>
    <w:rsid w:val="00750C7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50C7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50C74"/>
    <w:pPr>
      <w:numPr>
        <w:numId w:val="9"/>
      </w:numPr>
    </w:pPr>
  </w:style>
  <w:style w:type="paragraph" w:customStyle="1" w:styleId="ListAlpha2">
    <w:name w:val="List Alpha 2"/>
    <w:basedOn w:val="List2"/>
    <w:rsid w:val="00750C74"/>
    <w:pPr>
      <w:numPr>
        <w:numId w:val="8"/>
      </w:numPr>
    </w:pPr>
  </w:style>
  <w:style w:type="paragraph" w:styleId="List2">
    <w:name w:val="List 2"/>
    <w:basedOn w:val="BodyText"/>
    <w:rsid w:val="00750C7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50C7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50C7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50C7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50C74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50C74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750C74"/>
    <w:pPr>
      <w:numPr>
        <w:numId w:val="4"/>
      </w:numPr>
    </w:pPr>
  </w:style>
  <w:style w:type="paragraph" w:styleId="ListContinue2">
    <w:name w:val="List Continue 2"/>
    <w:basedOn w:val="List2"/>
    <w:rsid w:val="00750C74"/>
    <w:pPr>
      <w:ind w:firstLine="0"/>
    </w:pPr>
  </w:style>
  <w:style w:type="paragraph" w:styleId="ListContinue3">
    <w:name w:val="List Continue 3"/>
    <w:basedOn w:val="List3"/>
    <w:rsid w:val="00750C74"/>
    <w:pPr>
      <w:ind w:left="1021" w:firstLine="0"/>
    </w:pPr>
  </w:style>
  <w:style w:type="paragraph" w:styleId="ListContinue4">
    <w:name w:val="List Continue 4"/>
    <w:basedOn w:val="List4"/>
    <w:rsid w:val="00750C74"/>
    <w:pPr>
      <w:ind w:firstLine="0"/>
    </w:pPr>
  </w:style>
  <w:style w:type="paragraph" w:styleId="ListContinue5">
    <w:name w:val="List Continue 5"/>
    <w:basedOn w:val="List5"/>
    <w:rsid w:val="00750C74"/>
    <w:pPr>
      <w:ind w:firstLine="0"/>
    </w:pPr>
  </w:style>
  <w:style w:type="paragraph" w:styleId="ListNumber3">
    <w:name w:val="List Number 3"/>
    <w:basedOn w:val="List3"/>
    <w:rsid w:val="00750C74"/>
    <w:pPr>
      <w:numPr>
        <w:numId w:val="5"/>
      </w:numPr>
    </w:pPr>
  </w:style>
  <w:style w:type="paragraph" w:styleId="ListNumber4">
    <w:name w:val="List Number 4"/>
    <w:basedOn w:val="List4"/>
    <w:rsid w:val="00750C74"/>
    <w:pPr>
      <w:numPr>
        <w:numId w:val="6"/>
      </w:numPr>
    </w:pPr>
  </w:style>
  <w:style w:type="paragraph" w:styleId="ListNumber5">
    <w:name w:val="List Number 5"/>
    <w:basedOn w:val="List5"/>
    <w:rsid w:val="00750C74"/>
    <w:pPr>
      <w:numPr>
        <w:numId w:val="7"/>
      </w:numPr>
    </w:pPr>
  </w:style>
  <w:style w:type="paragraph" w:styleId="BlockText">
    <w:name w:val="Block Text"/>
    <w:basedOn w:val="Normal"/>
    <w:rsid w:val="00750C7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50C7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50C74"/>
    <w:rPr>
      <w:sz w:val="16"/>
      <w:vertAlign w:val="superscript"/>
    </w:rPr>
  </w:style>
  <w:style w:type="character" w:customStyle="1" w:styleId="Symbols">
    <w:name w:val="Symbols"/>
    <w:basedOn w:val="DefaultParagraphFont"/>
    <w:rsid w:val="00750C74"/>
    <w:rPr>
      <w:rFonts w:ascii="Symbol" w:hAnsi="Symbol"/>
    </w:rPr>
  </w:style>
  <w:style w:type="character" w:customStyle="1" w:styleId="MenuOptions">
    <w:name w:val="Menu Options"/>
    <w:basedOn w:val="DefaultParagraphFont"/>
    <w:rsid w:val="00750C7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50C74"/>
    <w:rPr>
      <w:b/>
    </w:rPr>
  </w:style>
  <w:style w:type="character" w:customStyle="1" w:styleId="Underlined">
    <w:name w:val="Underlined"/>
    <w:basedOn w:val="DefaultParagraphFont"/>
    <w:rsid w:val="00750C74"/>
    <w:rPr>
      <w:u w:val="single"/>
    </w:rPr>
  </w:style>
  <w:style w:type="paragraph" w:customStyle="1" w:styleId="TableBodyTextRight">
    <w:name w:val="Table Body Text Right"/>
    <w:basedOn w:val="TableBodyText"/>
    <w:rsid w:val="00750C7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50C74"/>
    <w:rPr>
      <w:sz w:val="18"/>
    </w:rPr>
  </w:style>
  <w:style w:type="paragraph" w:customStyle="1" w:styleId="BodySmallRight">
    <w:name w:val="Body Small Right"/>
    <w:basedOn w:val="BodyTextRight"/>
    <w:rsid w:val="00750C74"/>
    <w:rPr>
      <w:sz w:val="18"/>
      <w:szCs w:val="18"/>
    </w:rPr>
  </w:style>
  <w:style w:type="paragraph" w:customStyle="1" w:styleId="MarginEdition">
    <w:name w:val="Margin Edition"/>
    <w:basedOn w:val="MarginNote"/>
    <w:rsid w:val="00750C7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50C74"/>
    <w:rPr>
      <w:sz w:val="2"/>
      <w:szCs w:val="2"/>
    </w:rPr>
  </w:style>
  <w:style w:type="character" w:customStyle="1" w:styleId="Small">
    <w:name w:val="Small"/>
    <w:basedOn w:val="DefaultParagraphFont"/>
    <w:rsid w:val="00750C74"/>
    <w:rPr>
      <w:sz w:val="16"/>
    </w:rPr>
  </w:style>
  <w:style w:type="paragraph" w:customStyle="1" w:styleId="WideTable">
    <w:name w:val="Wide Table"/>
    <w:basedOn w:val="Normal"/>
    <w:rsid w:val="00750C7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50C74"/>
  </w:style>
  <w:style w:type="paragraph" w:styleId="Quote">
    <w:name w:val="Quote"/>
    <w:basedOn w:val="Heading1"/>
    <w:link w:val="QuoteChar"/>
    <w:qFormat/>
    <w:rsid w:val="00750C7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50C7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50C74"/>
    <w:pPr>
      <w:pageBreakBefore/>
    </w:pPr>
  </w:style>
  <w:style w:type="paragraph" w:customStyle="1" w:styleId="Border">
    <w:name w:val="Border"/>
    <w:basedOn w:val="Normal"/>
    <w:qFormat/>
    <w:rsid w:val="00750C7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50C7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0C7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0C7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50C7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50C7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50C7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50C7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50C7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50C74"/>
    <w:rPr>
      <w:u w:val="single"/>
    </w:rPr>
  </w:style>
  <w:style w:type="character" w:customStyle="1" w:styleId="BoldandItalics">
    <w:name w:val="Bold and Italics"/>
    <w:qFormat/>
    <w:rsid w:val="00750C74"/>
    <w:rPr>
      <w:b/>
      <w:i/>
      <w:u w:val="none"/>
    </w:rPr>
  </w:style>
  <w:style w:type="paragraph" w:styleId="BalloonText">
    <w:name w:val="Balloon Text"/>
    <w:basedOn w:val="Normal"/>
    <w:link w:val="BalloonTextChar"/>
    <w:rsid w:val="00750C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0C7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50C7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50C7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50C7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50C7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50C74"/>
    <w:pPr>
      <w:spacing w:before="0" w:after="0"/>
    </w:pPr>
  </w:style>
  <w:style w:type="paragraph" w:customStyle="1" w:styleId="BodyTextBold">
    <w:name w:val="Body Text Bold"/>
    <w:basedOn w:val="BodyText"/>
    <w:qFormat/>
    <w:rsid w:val="00750C74"/>
    <w:rPr>
      <w:b/>
    </w:rPr>
  </w:style>
  <w:style w:type="character" w:styleId="Hyperlink">
    <w:name w:val="Hyperlink"/>
    <w:basedOn w:val="DefaultParagraphFont"/>
    <w:uiPriority w:val="99"/>
    <w:unhideWhenUsed/>
    <w:rsid w:val="004500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df441c6e-213d-43e3-874c-0b3f7036d85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1263</Words>
  <Characters>8315</Characters>
  <Application>Microsoft Office Word</Application>
  <DocSecurity>0</DocSecurity>
  <Lines>230</Lines>
  <Paragraphs>217</Paragraphs>
  <ScaleCrop>false</ScaleCrop>
  <Company>Author-it Software Corporation Ltd.</Company>
  <LinksUpToDate>false</LinksUpToDate>
  <CharactersWithSpaces>9361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TLILIC4011 Licence to operate a slewing mobile crane (over 100 tonnes)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2021-02-16T01:44:00Z</dcterms:created>
  <dcterms:modified xsi:type="dcterms:W3CDTF">2021-02-16T01:44:00Z</dcterms:modified>
</cp:coreProperties>
</file>