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B9" w:rsidRDefault="00FE1BB9" w:rsidP="00FE1BB9">
      <w:pPr>
        <w:pStyle w:val="Title"/>
      </w:pPr>
      <w:fldSimple w:instr=" TITLE   \* MERGEFORMAT ">
        <w:r>
          <w:t>RIIRIS402D Carry out the risk management process</w:t>
        </w:r>
      </w:fldSimple>
    </w:p>
    <w:p w:rsidR="00FE1BB9" w:rsidRDefault="00FE1BB9" w:rsidP="00FE1BB9">
      <w:pPr>
        <w:pStyle w:val="Version"/>
        <w:sectPr w:rsidR="00FE1BB9" w:rsidSect="001B68E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1B68E6" w:rsidRDefault="00FE1BB9" w:rsidP="001B68E6">
      <w:pPr>
        <w:pStyle w:val="SuperHeading"/>
      </w:pPr>
      <w:r w:rsidRPr="001B68E6">
        <w:lastRenderedPageBreak/>
        <w:t>RIIRIS402D Carry out the risk management process</w:t>
      </w:r>
    </w:p>
    <w:p w:rsidR="00000000" w:rsidRPr="001B68E6" w:rsidRDefault="00FE1BB9" w:rsidP="001B68E6">
      <w:pPr>
        <w:pStyle w:val="Heading1"/>
      </w:pPr>
      <w:bookmarkStart w:id="1" w:name="O_682366"/>
      <w:bookmarkEnd w:id="1"/>
      <w:r w:rsidRPr="001B68E6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0"/>
        <w:gridCol w:w="8550"/>
      </w:tblGrid>
      <w:tr w:rsidR="00000000" w:rsidTr="00FE1BB9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Heading4"/>
              <w:rPr>
                <w:lang w:val="en-NZ"/>
              </w:rPr>
            </w:pPr>
            <w:r w:rsidRPr="001B68E6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Heading4"/>
              <w:rPr>
                <w:lang w:val="en-NZ"/>
              </w:rPr>
            </w:pPr>
            <w:r w:rsidRPr="001B68E6">
              <w:t>Comment</w:t>
            </w:r>
          </w:p>
        </w:tc>
      </w:tr>
      <w:tr w:rsidR="00000000" w:rsidTr="00FE1BB9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This unit replaces RIIRIS402A Carry out the risk management processes</w:t>
            </w:r>
          </w:p>
        </w:tc>
      </w:tr>
      <w:tr w:rsidR="00000000" w:rsidRPr="001B68E6" w:rsidTr="00FE1BB9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Required frequency and volume of evidence amended in Performance evidence.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 xml:space="preserve">Substantial amendments made in Assessment Conditions field, </w:t>
            </w:r>
            <w:r w:rsidRPr="001B68E6">
              <w:t>including: references to Industry Sectors, assessor and subject matter expert experience requirements, how assessment should be conducted and what it should confirm.</w:t>
            </w:r>
          </w:p>
        </w:tc>
      </w:tr>
    </w:tbl>
    <w:p w:rsidR="00000000" w:rsidRPr="001B68E6" w:rsidRDefault="00FE1BB9" w:rsidP="001B68E6">
      <w:pPr>
        <w:pStyle w:val="BodyText"/>
      </w:pPr>
    </w:p>
    <w:p w:rsidR="00000000" w:rsidRPr="001B68E6" w:rsidRDefault="00FE1BB9" w:rsidP="001B68E6">
      <w:pPr>
        <w:pStyle w:val="AllowPageBreak"/>
      </w:pPr>
    </w:p>
    <w:p w:rsidR="00000000" w:rsidRPr="001B68E6" w:rsidRDefault="00FE1BB9" w:rsidP="001B68E6">
      <w:pPr>
        <w:pStyle w:val="Heading1"/>
      </w:pPr>
      <w:bookmarkStart w:id="2" w:name="O_682365"/>
      <w:bookmarkEnd w:id="2"/>
      <w:r w:rsidRPr="001B68E6">
        <w:t>Application</w:t>
      </w:r>
    </w:p>
    <w:p w:rsidR="00000000" w:rsidRPr="001B68E6" w:rsidRDefault="00FE1BB9" w:rsidP="00FE1BB9">
      <w:pPr>
        <w:pStyle w:val="BodyText"/>
      </w:pPr>
      <w:r w:rsidRPr="001B68E6">
        <w:t>This unit describes a participant’s skills and knowledge re</w:t>
      </w:r>
      <w:r w:rsidRPr="001B68E6">
        <w:t>quired to carry out risk management processes in the Resources and Infrastructure Industries.</w:t>
      </w:r>
    </w:p>
    <w:p w:rsidR="00000000" w:rsidRPr="001B68E6" w:rsidRDefault="00FE1BB9" w:rsidP="00FE1BB9">
      <w:pPr>
        <w:pStyle w:val="BodyText"/>
      </w:pPr>
      <w:r w:rsidRPr="001B68E6">
        <w:t xml:space="preserve">This unit it appropriate for those working in supervisory roles. </w:t>
      </w:r>
    </w:p>
    <w:p w:rsidR="00FE1BB9" w:rsidRDefault="00FE1BB9" w:rsidP="00FE1BB9">
      <w:pPr>
        <w:pStyle w:val="BodyText"/>
      </w:pPr>
      <w:r w:rsidRPr="001B68E6">
        <w:t>No licensing, legislative or certification requirements apply to this unit at the time of public</w:t>
      </w:r>
      <w:r w:rsidRPr="001B68E6">
        <w:t>ation.</w:t>
      </w:r>
    </w:p>
    <w:p w:rsidR="00000000" w:rsidRPr="001B68E6" w:rsidRDefault="00FE1BB9" w:rsidP="001B68E6">
      <w:pPr>
        <w:pStyle w:val="Heading1"/>
      </w:pPr>
      <w:bookmarkStart w:id="3" w:name="O_682364"/>
      <w:bookmarkEnd w:id="3"/>
      <w:r w:rsidRPr="001B68E6">
        <w:t>Elements and Performance Criteria</w:t>
      </w:r>
    </w:p>
    <w:tbl>
      <w:tblPr>
        <w:tblW w:w="960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0"/>
        <w:gridCol w:w="7176"/>
      </w:tblGrid>
      <w:tr w:rsidR="00000000" w:rsidTr="001B68E6">
        <w:trPr>
          <w:trHeight w:val="192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1.</w:t>
            </w:r>
            <w:r w:rsidRPr="001B68E6">
              <w:tab/>
              <w:t>Plan and prepare for implementing the risk management process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1.1</w:t>
            </w:r>
            <w:r w:rsidRPr="001B68E6">
              <w:tab/>
              <w:t>Access, interpret and apply risk management documentation and ensure the work activity is compliant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1.2</w:t>
            </w:r>
            <w:r w:rsidRPr="001B68E6">
              <w:tab/>
            </w:r>
            <w:r w:rsidRPr="001B68E6">
              <w:t>Identify and determine the process to be used for risk management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1.3</w:t>
            </w:r>
            <w:r w:rsidRPr="001B68E6">
              <w:tab/>
              <w:t>Identify, develop and document parameters of the risk assessment task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1.4</w:t>
            </w:r>
            <w:r w:rsidRPr="001B68E6">
              <w:tab/>
              <w:t>Access, interpret and apply the data required to complete the risk assessment task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2.</w:t>
            </w:r>
            <w:r w:rsidRPr="001B68E6">
              <w:tab/>
              <w:t>Identify hazards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2.1</w:t>
            </w:r>
            <w:r w:rsidRPr="001B68E6">
              <w:tab/>
              <w:t>Iden</w:t>
            </w:r>
            <w:r w:rsidRPr="001B68E6">
              <w:t>tify and confirm types of potential hazards by reference to site circumstances, history and/or precedence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2.2</w:t>
            </w:r>
            <w:r w:rsidRPr="001B68E6">
              <w:tab/>
              <w:t>Establish and communicate to others the process for hazard identification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2.3</w:t>
            </w:r>
            <w:r w:rsidRPr="001B68E6">
              <w:tab/>
              <w:t xml:space="preserve">Undertake routine hazard identification 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2.4</w:t>
            </w:r>
            <w:r w:rsidRPr="001B68E6">
              <w:tab/>
              <w:t>Add to the hazard ident</w:t>
            </w:r>
            <w:r w:rsidRPr="001B68E6">
              <w:t xml:space="preserve">ification process any potential variations </w:t>
            </w:r>
            <w:r w:rsidRPr="001B68E6">
              <w:lastRenderedPageBreak/>
              <w:t>from changes to work practices, systems or technology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2.5</w:t>
            </w:r>
            <w:r w:rsidRPr="001B68E6">
              <w:tab/>
              <w:t>Analyse the hazard identification process or parts of the process, to identify and prepare written documents to communicate loss scenarios</w:t>
            </w:r>
          </w:p>
        </w:tc>
      </w:tr>
      <w:tr w:rsidR="00000000" w:rsidTr="001B68E6">
        <w:trPr>
          <w:trHeight w:val="105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lastRenderedPageBreak/>
              <w:t>3.</w:t>
            </w:r>
            <w:r w:rsidRPr="001B68E6">
              <w:tab/>
              <w:t>Assess risk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3.1</w:t>
            </w:r>
            <w:r w:rsidRPr="001B68E6">
              <w:tab/>
              <w:t>Determine the likelihood of the loss scenario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3.2</w:t>
            </w:r>
            <w:r w:rsidRPr="001B68E6">
              <w:tab/>
              <w:t>Analyse and determine the consequence if the loss scenario should occur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3.3</w:t>
            </w:r>
            <w:r w:rsidRPr="001B68E6">
              <w:tab/>
              <w:t>Determine the risk level of the loss scenario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4.</w:t>
            </w:r>
            <w:r w:rsidRPr="001B68E6">
              <w:tab/>
              <w:t>Identify unacceptable risk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4.1</w:t>
            </w:r>
            <w:r w:rsidRPr="001B68E6">
              <w:tab/>
              <w:t>Source or deter</w:t>
            </w:r>
            <w:r w:rsidRPr="001B68E6">
              <w:t>mine site criteria for assessing the acceptability of risks in conjunction with the appropriate party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4.2</w:t>
            </w:r>
            <w:r w:rsidRPr="001B68E6">
              <w:tab/>
              <w:t>Determine the risk level or score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4.3</w:t>
            </w:r>
            <w:r w:rsidRPr="001B68E6">
              <w:tab/>
              <w:t xml:space="preserve">Seek expert advice and clarify findings which are ambiguous, unclear or of doubtful accuracy 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5.</w:t>
            </w:r>
            <w:r w:rsidRPr="001B68E6">
              <w:tab/>
              <w:t>Identify poten</w:t>
            </w:r>
            <w:r w:rsidRPr="001B68E6">
              <w:t>tial actions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5.1</w:t>
            </w:r>
            <w:r w:rsidRPr="001B68E6">
              <w:tab/>
              <w:t>Identify existing controls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5.2</w:t>
            </w:r>
            <w:r w:rsidRPr="001B68E6">
              <w:tab/>
              <w:t>Identify, analyse and document the range of risk controls for identified unacceptable risks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5.3</w:t>
            </w:r>
            <w:r w:rsidRPr="001B68E6">
              <w:tab/>
              <w:t>Identify risk control options  using the hierarchy of controls, considering operational effectiveness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5.4</w:t>
            </w:r>
            <w:r w:rsidRPr="001B68E6">
              <w:tab/>
              <w:t>Verify</w:t>
            </w:r>
            <w:r w:rsidRPr="001B68E6">
              <w:t xml:space="preserve"> feasible options for risk control by preliminary analysis and consideration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6.</w:t>
            </w:r>
            <w:r w:rsidRPr="001B68E6">
              <w:tab/>
              <w:t>Decide on action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6.1</w:t>
            </w:r>
            <w:r w:rsidRPr="001B68E6">
              <w:tab/>
              <w:t>Select most appropriate risk controls for the situation from the feasible options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6.2</w:t>
            </w:r>
            <w:r w:rsidRPr="001B68E6">
              <w:tab/>
              <w:t>Clarify the decision and confirm the selected course of action follo</w:t>
            </w:r>
            <w:r w:rsidRPr="001B68E6">
              <w:t>wing analysis of resource requirements, cost, safety and welfare issues within site constraints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6.3</w:t>
            </w:r>
            <w:r w:rsidRPr="001B68E6">
              <w:tab/>
              <w:t>Prepare written document outlining the selected course of action and resources required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7.</w:t>
            </w:r>
            <w:r w:rsidRPr="001B68E6">
              <w:tab/>
              <w:t>Implement or facilitate action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7.1</w:t>
            </w:r>
            <w:r w:rsidRPr="001B68E6">
              <w:tab/>
            </w:r>
            <w:r w:rsidRPr="001B68E6">
              <w:t>Implement directly, or facilitate through others, the course of action plans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7.2</w:t>
            </w:r>
            <w:r w:rsidRPr="001B68E6">
              <w:tab/>
              <w:t>Maintain the standards for safety regulations and procedures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7.3</w:t>
            </w:r>
            <w:r w:rsidRPr="001B68E6">
              <w:tab/>
              <w:t>Communicate to all parties relevant information related to the new/revised work procedures and action plans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7.</w:t>
            </w:r>
            <w:r w:rsidRPr="001B68E6">
              <w:t>4</w:t>
            </w:r>
            <w:r w:rsidRPr="001B68E6">
              <w:tab/>
              <w:t>Reinforce requirements through observing the impact of information and implemented action plans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7.5</w:t>
            </w:r>
            <w:r w:rsidRPr="001B68E6">
              <w:tab/>
              <w:t>Coach others to effectively carry out action plans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8.</w:t>
            </w:r>
            <w:r w:rsidRPr="001B68E6">
              <w:tab/>
              <w:t xml:space="preserve">Review the implementation of </w:t>
            </w:r>
            <w:r w:rsidRPr="001B68E6">
              <w:lastRenderedPageBreak/>
              <w:t>action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lastRenderedPageBreak/>
              <w:t>8.1</w:t>
            </w:r>
            <w:r w:rsidRPr="001B68E6">
              <w:tab/>
              <w:t>Determine and facilitate an ongoing review process to ensur</w:t>
            </w:r>
            <w:r w:rsidRPr="001B68E6">
              <w:t xml:space="preserve">e implementation and application plans for risk controls 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lastRenderedPageBreak/>
              <w:t>8.2</w:t>
            </w:r>
            <w:r w:rsidRPr="001B68E6">
              <w:tab/>
              <w:t>Routinely review process, actions and controls to ensure continuing effectiveness in the changing work environment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8.3</w:t>
            </w:r>
            <w:r w:rsidRPr="001B68E6">
              <w:tab/>
              <w:t>Respond to, or refer to the appropriate party for follow-up action, anomali</w:t>
            </w:r>
            <w:r w:rsidRPr="001B68E6">
              <w:t>es and shortcomings identified during the review process</w:t>
            </w:r>
          </w:p>
        </w:tc>
      </w:tr>
      <w:tr w:rsidR="00000000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lastRenderedPageBreak/>
              <w:t>9.</w:t>
            </w:r>
            <w:r w:rsidRPr="001B68E6">
              <w:tab/>
              <w:t>Audit the risk management process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9.1</w:t>
            </w:r>
            <w:r w:rsidRPr="001B68E6">
              <w:tab/>
              <w:t>Conduct audits of risk management processes and work procedures and amend accordingly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9.2</w:t>
            </w:r>
            <w:r w:rsidRPr="001B68E6">
              <w:tab/>
              <w:t xml:space="preserve">Consult with others to identify issues to action plans 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9.3</w:t>
            </w:r>
            <w:r w:rsidRPr="001B68E6">
              <w:tab/>
              <w:t>Respond</w:t>
            </w:r>
            <w:r w:rsidRPr="001B68E6">
              <w:t xml:space="preserve"> to changed requirements identified during audits in a systematic and timely manner</w:t>
            </w:r>
          </w:p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9.4</w:t>
            </w:r>
            <w:r w:rsidRPr="001B68E6">
              <w:tab/>
              <w:t>Complete and retain all written risk management documentation covering the reason for, and changes made</w:t>
            </w:r>
          </w:p>
        </w:tc>
      </w:tr>
      <w:tr w:rsidR="00000000" w:rsidRPr="001B68E6" w:rsidTr="001B68E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E1BB9" w:rsidP="001B68E6">
            <w:pPr>
              <w:pStyle w:val="BodyText"/>
              <w:rPr>
                <w:lang w:val="en-NZ"/>
              </w:rPr>
            </w:pPr>
            <w:r w:rsidRPr="001B68E6">
              <w:t>10.</w:t>
            </w:r>
            <w:r w:rsidRPr="001B68E6">
              <w:tab/>
              <w:t>Complete records and reports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B68E6" w:rsidRDefault="00FE1BB9" w:rsidP="001B68E6">
            <w:pPr>
              <w:pStyle w:val="BodyText"/>
            </w:pPr>
            <w:r w:rsidRPr="001B68E6">
              <w:t>10.1</w:t>
            </w:r>
            <w:r w:rsidRPr="001B68E6">
              <w:tab/>
              <w:t xml:space="preserve">Produce and process and  </w:t>
            </w:r>
            <w:r w:rsidRPr="001B68E6">
              <w:t xml:space="preserve">all written risk management documentation and </w:t>
            </w:r>
            <w:r w:rsidRPr="001B68E6">
              <w:tab/>
              <w:t>reports</w:t>
            </w:r>
          </w:p>
          <w:p w:rsidR="00000000" w:rsidRPr="001B68E6" w:rsidRDefault="00FE1BB9" w:rsidP="001B68E6">
            <w:pPr>
              <w:pStyle w:val="BodyText"/>
            </w:pPr>
            <w:r w:rsidRPr="001B68E6">
              <w:t>10.2</w:t>
            </w:r>
            <w:r w:rsidRPr="001B68E6">
              <w:tab/>
              <w:t>Maintain all written risk management documentation and reports</w:t>
            </w:r>
          </w:p>
        </w:tc>
      </w:tr>
    </w:tbl>
    <w:p w:rsidR="00000000" w:rsidRPr="001B68E6" w:rsidRDefault="00FE1BB9" w:rsidP="001B68E6">
      <w:pPr>
        <w:pStyle w:val="BodyText"/>
      </w:pPr>
    </w:p>
    <w:p w:rsidR="00000000" w:rsidRPr="001B68E6" w:rsidRDefault="00FE1BB9" w:rsidP="001B68E6">
      <w:pPr>
        <w:pStyle w:val="AllowPageBreak"/>
      </w:pPr>
    </w:p>
    <w:p w:rsidR="00000000" w:rsidRPr="001B68E6" w:rsidRDefault="00FE1BB9" w:rsidP="001B68E6">
      <w:pPr>
        <w:pStyle w:val="Heading1"/>
      </w:pPr>
      <w:bookmarkStart w:id="4" w:name="O_682362"/>
      <w:bookmarkEnd w:id="4"/>
      <w:r w:rsidRPr="001B68E6">
        <w:t>Foundation Skills</w:t>
      </w:r>
    </w:p>
    <w:p w:rsidR="00FE1BB9" w:rsidRDefault="00FE1BB9" w:rsidP="00FE1BB9">
      <w:pPr>
        <w:pStyle w:val="BodyText"/>
      </w:pPr>
      <w:r w:rsidRPr="001B68E6">
        <w:t>Foundation skills essential to performance are explicit in the performance criteria of this unit. Further information is available in the Resources and Infrastructure Industry Training Package Companion Volume.</w:t>
      </w:r>
    </w:p>
    <w:p w:rsidR="00000000" w:rsidRPr="001B68E6" w:rsidRDefault="00FE1BB9" w:rsidP="001B68E6">
      <w:pPr>
        <w:pStyle w:val="Heading1"/>
      </w:pPr>
      <w:bookmarkStart w:id="5" w:name="O_682361"/>
      <w:bookmarkEnd w:id="5"/>
      <w:r w:rsidRPr="001B68E6">
        <w:t>Unit Mapping Information</w:t>
      </w:r>
    </w:p>
    <w:p w:rsidR="00FE1BB9" w:rsidRDefault="00FE1BB9" w:rsidP="00FE1BB9">
      <w:pPr>
        <w:pStyle w:val="BodyText"/>
      </w:pPr>
      <w:r w:rsidRPr="001B68E6">
        <w:t>RI</w:t>
      </w:r>
      <w:r w:rsidRPr="001B68E6">
        <w:t>IRIS402B Carry out the risk management processes</w:t>
      </w:r>
    </w:p>
    <w:p w:rsidR="00000000" w:rsidRPr="001B68E6" w:rsidRDefault="00FE1BB9" w:rsidP="001B68E6">
      <w:pPr>
        <w:pStyle w:val="Heading1"/>
      </w:pPr>
      <w:bookmarkStart w:id="6" w:name="O_682367"/>
      <w:bookmarkEnd w:id="6"/>
      <w:r w:rsidRPr="001B68E6">
        <w:t>Links</w:t>
      </w:r>
    </w:p>
    <w:p w:rsidR="00000000" w:rsidRPr="001B68E6" w:rsidRDefault="00FE1BB9" w:rsidP="00FE1BB9">
      <w:pPr>
        <w:pStyle w:val="BodyText"/>
      </w:pPr>
      <w:r w:rsidRPr="001B68E6">
        <w:t xml:space="preserve">Companion Volume implementation guides are found in VETNet - </w:t>
      </w:r>
      <w:hyperlink r:id="rId13" w:history="1">
        <w:r w:rsidRPr="00425FC7">
          <w:rPr>
            <w:rStyle w:val="Hyperlink"/>
          </w:rPr>
          <w:t>https://vetnet.gov.au/Pages/TrainingDocs.aspx?q=88a61002-9a21-4386-aaf8-69c76e675272</w:t>
        </w:r>
      </w:hyperlink>
    </w:p>
    <w:p w:rsidR="00000000" w:rsidRPr="001B68E6" w:rsidRDefault="00FE1BB9" w:rsidP="001B68E6"/>
    <w:sectPr w:rsidR="00000000" w:rsidRPr="001B68E6" w:rsidSect="001B68E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8E6" w:rsidRDefault="001B68E6" w:rsidP="001B68E6">
      <w:r>
        <w:separator/>
      </w:r>
    </w:p>
  </w:endnote>
  <w:endnote w:type="continuationSeparator" w:id="0">
    <w:p w:rsidR="001B68E6" w:rsidRDefault="001B68E6" w:rsidP="001B6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E6" w:rsidRDefault="001B68E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E6" w:rsidRPr="00FE1BB9" w:rsidRDefault="001B68E6" w:rsidP="00FE1BB9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E6" w:rsidRDefault="001B68E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B9" w:rsidRDefault="00FE1BB9" w:rsidP="001B68E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E1BB9" w:rsidRDefault="00FE1BB9" w:rsidP="001B68E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E1BB9" w:rsidRDefault="00FE1BB9" w:rsidP="001B68E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8E6" w:rsidRDefault="001B68E6" w:rsidP="001B68E6">
      <w:r>
        <w:separator/>
      </w:r>
    </w:p>
  </w:footnote>
  <w:footnote w:type="continuationSeparator" w:id="0">
    <w:p w:rsidR="001B68E6" w:rsidRDefault="001B68E6" w:rsidP="001B6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E6" w:rsidRDefault="001B68E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B9" w:rsidRDefault="00FE1BB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05F71F4" wp14:editId="58A36F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68E6" w:rsidRPr="00FE1BB9" w:rsidRDefault="001B68E6" w:rsidP="00FE1BB9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8E6" w:rsidRDefault="001B68E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BB9" w:rsidRPr="002D2AF8" w:rsidRDefault="00FE1BB9" w:rsidP="001B68E6">
    <w:pPr>
      <w:pStyle w:val="Header"/>
      <w:framePr w:wrap="around"/>
    </w:pPr>
    <w:fldSimple w:instr=" TITLE   \* MERGEFORMAT ">
      <w:r>
        <w:t>RIIRIS402D Carry out the risk management process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September 2021</w:t>
    </w:r>
    <w:r>
      <w:fldChar w:fldCharType="end"/>
    </w:r>
  </w:p>
  <w:p w:rsidR="00FE1BB9" w:rsidRDefault="00FE1BB9" w:rsidP="001B68E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B68E6"/>
    <w:rsid w:val="001B68E6"/>
    <w:rsid w:val="00FE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8E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B68E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B68E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B68E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B68E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B68E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B68E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B68E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B68E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B68E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B68E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B68E6"/>
  </w:style>
  <w:style w:type="character" w:customStyle="1" w:styleId="Heading1Char">
    <w:name w:val="Heading 1 Char"/>
    <w:basedOn w:val="DefaultParagraphFont"/>
    <w:link w:val="Heading1"/>
    <w:rsid w:val="001B68E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B68E6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1B68E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B68E6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1B68E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B68E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B68E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B68E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B68E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B68E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B68E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B68E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B68E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B68E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B68E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B68E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B68E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B68E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B68E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B68E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B68E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B68E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B68E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B68E6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B68E6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1B68E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1B68E6"/>
    <w:rPr>
      <w:b/>
      <w:spacing w:val="0"/>
    </w:rPr>
  </w:style>
  <w:style w:type="paragraph" w:customStyle="1" w:styleId="SuperTitle">
    <w:name w:val="SuperTitle"/>
    <w:basedOn w:val="Title"/>
    <w:rsid w:val="001B68E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B68E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B68E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B68E6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B68E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B68E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B68E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B68E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B68E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B68E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B68E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B68E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B68E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B68E6"/>
    <w:rPr>
      <w:i/>
    </w:rPr>
  </w:style>
  <w:style w:type="paragraph" w:styleId="Caption">
    <w:name w:val="caption"/>
    <w:basedOn w:val="BodyText"/>
    <w:next w:val="Normal"/>
    <w:qFormat/>
    <w:rsid w:val="001B68E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B68E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B68E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B68E6"/>
  </w:style>
  <w:style w:type="paragraph" w:styleId="TableofFigures">
    <w:name w:val="table of figures"/>
    <w:basedOn w:val="Normal"/>
    <w:next w:val="Normal"/>
    <w:semiHidden/>
    <w:rsid w:val="001B68E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B68E6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1B68E6"/>
    <w:rPr>
      <w:rFonts w:ascii="Wingdings" w:hAnsi="Wingdings"/>
    </w:rPr>
  </w:style>
  <w:style w:type="paragraph" w:customStyle="1" w:styleId="TableHeading">
    <w:name w:val="Table Heading"/>
    <w:basedOn w:val="HeadingBase"/>
    <w:rsid w:val="001B68E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B68E6"/>
    <w:rPr>
      <w:color w:val="0033CC"/>
      <w:u w:val="none"/>
    </w:rPr>
  </w:style>
  <w:style w:type="paragraph" w:customStyle="1" w:styleId="BodyTextRight">
    <w:name w:val="Body Text Right"/>
    <w:basedOn w:val="BodyText"/>
    <w:rsid w:val="001B68E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B68E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B68E6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B68E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B68E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B68E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B68E6"/>
    <w:rPr>
      <w:sz w:val="32"/>
    </w:rPr>
  </w:style>
  <w:style w:type="paragraph" w:customStyle="1" w:styleId="HeadingProcedure">
    <w:name w:val="Heading Procedure"/>
    <w:basedOn w:val="HeadingBase"/>
    <w:next w:val="Normal"/>
    <w:rsid w:val="001B68E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B68E6"/>
    <w:pPr>
      <w:spacing w:before="60" w:after="60"/>
    </w:pPr>
  </w:style>
  <w:style w:type="paragraph" w:styleId="ListContinue">
    <w:name w:val="List Continue"/>
    <w:basedOn w:val="List"/>
    <w:rsid w:val="001B68E6"/>
    <w:pPr>
      <w:ind w:firstLine="0"/>
    </w:pPr>
  </w:style>
  <w:style w:type="paragraph" w:customStyle="1" w:styleId="ListNote">
    <w:name w:val="List Note"/>
    <w:basedOn w:val="List"/>
    <w:rsid w:val="001B68E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B68E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B68E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B68E6"/>
    <w:rPr>
      <w:rFonts w:ascii="Courier New" w:hAnsi="Courier New"/>
    </w:rPr>
  </w:style>
  <w:style w:type="paragraph" w:customStyle="1" w:styleId="NoteBullet">
    <w:name w:val="Note Bullet"/>
    <w:basedOn w:val="Note"/>
    <w:rsid w:val="001B68E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B68E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B68E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B68E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B68E6"/>
    <w:pPr>
      <w:numPr>
        <w:numId w:val="9"/>
      </w:numPr>
    </w:pPr>
  </w:style>
  <w:style w:type="paragraph" w:styleId="PlainText">
    <w:name w:val="Plain Text"/>
    <w:basedOn w:val="Normal"/>
    <w:link w:val="PlainTextChar"/>
    <w:rsid w:val="001B68E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B68E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B68E6"/>
    <w:rPr>
      <w:b/>
      <w:smallCaps/>
    </w:rPr>
  </w:style>
  <w:style w:type="paragraph" w:customStyle="1" w:styleId="TableListNumber">
    <w:name w:val="Table List Number"/>
    <w:basedOn w:val="ListNumber"/>
    <w:rsid w:val="001B68E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B68E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B68E6"/>
    <w:pPr>
      <w:numPr>
        <w:numId w:val="7"/>
      </w:numPr>
    </w:pPr>
  </w:style>
  <w:style w:type="paragraph" w:customStyle="1" w:styleId="ListAlpha2">
    <w:name w:val="List Alpha 2"/>
    <w:basedOn w:val="List2"/>
    <w:rsid w:val="001B68E6"/>
    <w:pPr>
      <w:numPr>
        <w:numId w:val="6"/>
      </w:numPr>
    </w:pPr>
  </w:style>
  <w:style w:type="paragraph" w:styleId="List2">
    <w:name w:val="List 2"/>
    <w:basedOn w:val="BodyText"/>
    <w:rsid w:val="001B68E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B68E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B68E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B68E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B68E6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B68E6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1B68E6"/>
    <w:pPr>
      <w:numPr>
        <w:numId w:val="2"/>
      </w:numPr>
    </w:pPr>
  </w:style>
  <w:style w:type="paragraph" w:styleId="ListContinue2">
    <w:name w:val="List Continue 2"/>
    <w:basedOn w:val="List2"/>
    <w:rsid w:val="001B68E6"/>
    <w:pPr>
      <w:ind w:firstLine="0"/>
    </w:pPr>
  </w:style>
  <w:style w:type="paragraph" w:styleId="ListContinue3">
    <w:name w:val="List Continue 3"/>
    <w:basedOn w:val="List3"/>
    <w:rsid w:val="001B68E6"/>
    <w:pPr>
      <w:ind w:left="1021" w:firstLine="0"/>
    </w:pPr>
  </w:style>
  <w:style w:type="paragraph" w:styleId="ListContinue4">
    <w:name w:val="List Continue 4"/>
    <w:basedOn w:val="List4"/>
    <w:rsid w:val="001B68E6"/>
    <w:pPr>
      <w:ind w:firstLine="0"/>
    </w:pPr>
  </w:style>
  <w:style w:type="paragraph" w:styleId="ListContinue5">
    <w:name w:val="List Continue 5"/>
    <w:basedOn w:val="List5"/>
    <w:rsid w:val="001B68E6"/>
    <w:pPr>
      <w:ind w:firstLine="0"/>
    </w:pPr>
  </w:style>
  <w:style w:type="paragraph" w:styleId="ListNumber3">
    <w:name w:val="List Number 3"/>
    <w:basedOn w:val="List3"/>
    <w:rsid w:val="001B68E6"/>
    <w:pPr>
      <w:numPr>
        <w:numId w:val="3"/>
      </w:numPr>
    </w:pPr>
  </w:style>
  <w:style w:type="paragraph" w:styleId="ListNumber4">
    <w:name w:val="List Number 4"/>
    <w:basedOn w:val="List4"/>
    <w:rsid w:val="001B68E6"/>
    <w:pPr>
      <w:numPr>
        <w:numId w:val="4"/>
      </w:numPr>
    </w:pPr>
  </w:style>
  <w:style w:type="paragraph" w:styleId="ListNumber5">
    <w:name w:val="List Number 5"/>
    <w:basedOn w:val="List5"/>
    <w:rsid w:val="001B68E6"/>
    <w:pPr>
      <w:numPr>
        <w:numId w:val="5"/>
      </w:numPr>
    </w:pPr>
  </w:style>
  <w:style w:type="paragraph" w:styleId="BlockText">
    <w:name w:val="Block Text"/>
    <w:basedOn w:val="Normal"/>
    <w:rsid w:val="001B68E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B68E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B68E6"/>
    <w:rPr>
      <w:sz w:val="16"/>
      <w:vertAlign w:val="superscript"/>
    </w:rPr>
  </w:style>
  <w:style w:type="character" w:customStyle="1" w:styleId="Symbols">
    <w:name w:val="Symbols"/>
    <w:basedOn w:val="DefaultParagraphFont"/>
    <w:rsid w:val="001B68E6"/>
    <w:rPr>
      <w:rFonts w:ascii="Symbol" w:hAnsi="Symbol"/>
    </w:rPr>
  </w:style>
  <w:style w:type="character" w:customStyle="1" w:styleId="MenuOptions">
    <w:name w:val="Menu Options"/>
    <w:basedOn w:val="DefaultParagraphFont"/>
    <w:rsid w:val="001B68E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B68E6"/>
    <w:rPr>
      <w:b/>
    </w:rPr>
  </w:style>
  <w:style w:type="character" w:customStyle="1" w:styleId="Underlined">
    <w:name w:val="Underlined"/>
    <w:basedOn w:val="DefaultParagraphFont"/>
    <w:rsid w:val="001B68E6"/>
    <w:rPr>
      <w:u w:val="single"/>
    </w:rPr>
  </w:style>
  <w:style w:type="paragraph" w:customStyle="1" w:styleId="TableBodyTextRight">
    <w:name w:val="Table Body Text Right"/>
    <w:basedOn w:val="TableBodyText"/>
    <w:rsid w:val="001B68E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B68E6"/>
    <w:rPr>
      <w:sz w:val="18"/>
    </w:rPr>
  </w:style>
  <w:style w:type="paragraph" w:customStyle="1" w:styleId="BodySmallRight">
    <w:name w:val="Body Small Right"/>
    <w:basedOn w:val="BodyTextRight"/>
    <w:rsid w:val="001B68E6"/>
    <w:rPr>
      <w:sz w:val="18"/>
      <w:szCs w:val="18"/>
    </w:rPr>
  </w:style>
  <w:style w:type="paragraph" w:customStyle="1" w:styleId="MarginEdition">
    <w:name w:val="Margin Edition"/>
    <w:basedOn w:val="MarginNote"/>
    <w:rsid w:val="001B68E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B68E6"/>
    <w:rPr>
      <w:sz w:val="2"/>
      <w:szCs w:val="2"/>
    </w:rPr>
  </w:style>
  <w:style w:type="character" w:customStyle="1" w:styleId="Small">
    <w:name w:val="Small"/>
    <w:basedOn w:val="DefaultParagraphFont"/>
    <w:rsid w:val="001B68E6"/>
    <w:rPr>
      <w:sz w:val="16"/>
    </w:rPr>
  </w:style>
  <w:style w:type="paragraph" w:customStyle="1" w:styleId="WideTable">
    <w:name w:val="Wide Table"/>
    <w:basedOn w:val="Normal"/>
    <w:rsid w:val="001B68E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B68E6"/>
  </w:style>
  <w:style w:type="paragraph" w:styleId="Quote">
    <w:name w:val="Quote"/>
    <w:basedOn w:val="Heading1"/>
    <w:link w:val="QuoteChar"/>
    <w:qFormat/>
    <w:rsid w:val="001B68E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B68E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B68E6"/>
    <w:pPr>
      <w:pageBreakBefore/>
    </w:pPr>
  </w:style>
  <w:style w:type="paragraph" w:customStyle="1" w:styleId="Border">
    <w:name w:val="Border"/>
    <w:basedOn w:val="Normal"/>
    <w:qFormat/>
    <w:rsid w:val="001B68E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B68E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68E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68E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B68E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B68E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B68E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B68E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B68E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B68E6"/>
    <w:rPr>
      <w:u w:val="single"/>
    </w:rPr>
  </w:style>
  <w:style w:type="character" w:customStyle="1" w:styleId="BoldandItalics">
    <w:name w:val="Bold and Italics"/>
    <w:qFormat/>
    <w:rsid w:val="001B68E6"/>
    <w:rPr>
      <w:b/>
      <w:i/>
      <w:u w:val="none"/>
    </w:rPr>
  </w:style>
  <w:style w:type="paragraph" w:styleId="BalloonText">
    <w:name w:val="Balloon Text"/>
    <w:basedOn w:val="Normal"/>
    <w:link w:val="BalloonTextChar"/>
    <w:rsid w:val="001B6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68E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B68E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B68E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B68E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B68E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B68E6"/>
    <w:pPr>
      <w:spacing w:before="0" w:after="0"/>
    </w:pPr>
  </w:style>
  <w:style w:type="paragraph" w:customStyle="1" w:styleId="BodyTextBold">
    <w:name w:val="Body Text Bold"/>
    <w:basedOn w:val="BodyText"/>
    <w:qFormat/>
    <w:rsid w:val="001B68E6"/>
    <w:rPr>
      <w:b/>
    </w:rPr>
  </w:style>
  <w:style w:type="character" w:styleId="Hyperlink">
    <w:name w:val="Hyperlink"/>
    <w:basedOn w:val="DefaultParagraphFont"/>
    <w:uiPriority w:val="99"/>
    <w:unhideWhenUsed/>
    <w:rsid w:val="00FE1B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88a61002-9a21-4386-aaf8-69c76e6752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4369</Characters>
  <Application>Microsoft Office Word</Application>
  <DocSecurity>0</DocSecurity>
  <Lines>128</Lines>
  <Paragraphs>82</Paragraphs>
  <ScaleCrop>false</ScaleCrop>
  <Company>Author-it Software Corporation Ltd.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RIIRIS402D Carry out the risk management process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2021-09-21T07:24:00Z</dcterms:created>
  <dcterms:modified xsi:type="dcterms:W3CDTF">2021-09-21T07:24:00Z</dcterms:modified>
</cp:coreProperties>
</file>