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231B" w:rsidRDefault="0014231B" w:rsidP="0014231B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PUA50212 Diploma of Public Safety (Policing)</w:t>
      </w:r>
      <w:r>
        <w:fldChar w:fldCharType="end"/>
      </w:r>
    </w:p>
    <w:p w:rsidR="0014231B" w:rsidRDefault="0014231B" w:rsidP="0014231B">
      <w:pPr>
        <w:pStyle w:val="Version"/>
        <w:sectPr w:rsidR="0014231B" w:rsidSect="00045E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045EDB" w:rsidRDefault="0014231B" w:rsidP="00045EDB">
      <w:pPr>
        <w:pStyle w:val="SuperHeading"/>
      </w:pPr>
      <w:r w:rsidRPr="00045EDB">
        <w:lastRenderedPageBreak/>
        <w:t>PUA50212 Diploma of Public Safety (Policing)</w:t>
      </w:r>
    </w:p>
    <w:p w:rsidR="00000000" w:rsidRPr="00045EDB" w:rsidRDefault="0014231B" w:rsidP="00045EDB">
      <w:pPr>
        <w:pStyle w:val="Heading1"/>
      </w:pPr>
      <w:bookmarkStart w:id="1" w:name="O_462209"/>
      <w:bookmarkEnd w:id="1"/>
      <w:r w:rsidRPr="00045EDB">
        <w:t>Modification History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3969"/>
      </w:tblGrid>
      <w:tr w:rsidR="00000000" w:rsidTr="0014231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BodyText"/>
            </w:pPr>
            <w:r w:rsidRPr="00045EDB">
              <w:rPr>
                <w:rStyle w:val="SpecialBold"/>
              </w:rPr>
              <w:t>Release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BodyText"/>
            </w:pPr>
            <w:r w:rsidRPr="00045EDB">
              <w:rPr>
                <w:rStyle w:val="SpecialBold"/>
              </w:rPr>
              <w:t>TP version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Comments</w:t>
            </w:r>
          </w:p>
        </w:tc>
      </w:tr>
      <w:tr w:rsidR="00000000" w:rsidRPr="00045EDB" w:rsidTr="0014231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PUA12 v1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BodyText"/>
            </w:pPr>
            <w:r w:rsidRPr="00045EDB">
              <w:t>New release of existing qualification from P</w:t>
            </w:r>
            <w:r w:rsidRPr="00045EDB">
              <w:t>UA00 v8.1: PUA50210. Packaging rules wording revised, units updated. Equivalent.</w:t>
            </w:r>
          </w:p>
        </w:tc>
      </w:tr>
    </w:tbl>
    <w:p w:rsidR="00000000" w:rsidRPr="00045EDB" w:rsidRDefault="0014231B" w:rsidP="00045EDB">
      <w:pPr>
        <w:pStyle w:val="TableBodyText"/>
      </w:pPr>
    </w:p>
    <w:p w:rsidR="00000000" w:rsidRPr="00045EDB" w:rsidRDefault="0014231B" w:rsidP="00045EDB">
      <w:pPr>
        <w:pStyle w:val="AllowPageBreak"/>
      </w:pPr>
    </w:p>
    <w:p w:rsidR="00000000" w:rsidRPr="00045EDB" w:rsidRDefault="0014231B" w:rsidP="00045EDB">
      <w:pPr>
        <w:pStyle w:val="Heading1"/>
      </w:pPr>
      <w:bookmarkStart w:id="2" w:name="O_462210"/>
      <w:bookmarkEnd w:id="2"/>
      <w:r w:rsidRPr="00045EDB">
        <w:t>Description</w:t>
      </w:r>
    </w:p>
    <w:p w:rsidR="00000000" w:rsidRPr="00045EDB" w:rsidRDefault="0014231B" w:rsidP="00045EDB">
      <w:pPr>
        <w:pStyle w:val="BodyText"/>
      </w:pPr>
      <w:r w:rsidRPr="00045EDB">
        <w:t>Not applicable.</w:t>
      </w:r>
    </w:p>
    <w:p w:rsidR="00000000" w:rsidRPr="00045EDB" w:rsidRDefault="0014231B" w:rsidP="00045EDB">
      <w:pPr>
        <w:pStyle w:val="AllowPageBreak"/>
      </w:pPr>
    </w:p>
    <w:p w:rsidR="00000000" w:rsidRPr="00045EDB" w:rsidRDefault="0014231B" w:rsidP="00045EDB">
      <w:pPr>
        <w:pStyle w:val="Heading1"/>
      </w:pPr>
      <w:bookmarkStart w:id="3" w:name="O_462211"/>
      <w:bookmarkEnd w:id="3"/>
      <w:r w:rsidRPr="00045EDB">
        <w:lastRenderedPageBreak/>
        <w:t>Pathways Information</w:t>
      </w:r>
    </w:p>
    <w:p w:rsidR="00000000" w:rsidRPr="00045EDB" w:rsidRDefault="0014231B" w:rsidP="00045EDB">
      <w:pPr>
        <w:pStyle w:val="BodyText"/>
      </w:pPr>
      <w:r w:rsidRPr="00045EDB">
        <w:rPr>
          <w:rStyle w:val="SpecialBold"/>
        </w:rPr>
        <w:t>Pathways into the qualification</w:t>
      </w:r>
    </w:p>
    <w:p w:rsidR="00000000" w:rsidRPr="00045EDB" w:rsidRDefault="0014231B" w:rsidP="00045EDB">
      <w:pPr>
        <w:pStyle w:val="BodyText"/>
      </w:pPr>
      <w:r w:rsidRPr="00045EDB">
        <w:t xml:space="preserve">In the public safety industry, qualification pathways depend on a range of factors specific to each industry such as organisational/agency structure, promotional structure and rank structure. </w:t>
      </w:r>
    </w:p>
    <w:p w:rsidR="00000000" w:rsidRPr="00045EDB" w:rsidRDefault="0014231B" w:rsidP="00045EDB">
      <w:pPr>
        <w:pStyle w:val="BodyText"/>
      </w:pPr>
      <w:r w:rsidRPr="00045EDB">
        <w:t>Policing qualifications have been developed to set agreed minim</w:t>
      </w:r>
      <w:r w:rsidRPr="00045EDB">
        <w:t>um standards for police personnel that should be contextualised within the specifics of each Police jurisdiction/ agency/organisational policy and procedure.</w:t>
      </w:r>
    </w:p>
    <w:p w:rsidR="00000000" w:rsidRPr="00045EDB" w:rsidRDefault="0014231B" w:rsidP="00045EDB">
      <w:pPr>
        <w:pStyle w:val="BodyText"/>
      </w:pPr>
      <w:r w:rsidRPr="00045EDB">
        <w:t xml:space="preserve">A recruit will join a Police agency, generally become a Police Officer and subsequently move into </w:t>
      </w:r>
      <w:r w:rsidRPr="00045EDB">
        <w:t>a specialist role (such as a supervisor, detective, dog handler, scientific officer etc.).</w:t>
      </w:r>
    </w:p>
    <w:p w:rsidR="00000000" w:rsidRPr="00045EDB" w:rsidRDefault="0014231B" w:rsidP="00045EDB">
      <w:pPr>
        <w:pStyle w:val="BodyText"/>
      </w:pPr>
      <w:r w:rsidRPr="00045EDB">
        <w:t xml:space="preserve">Therefore, the recruit will be equipped vocationally with generic Police competencies, and often move into a supervising, managing, leading role or into a technical </w:t>
      </w:r>
      <w:r w:rsidRPr="00045EDB">
        <w:t>specialist role. This qualification engages the candidate who accesses policing for the first time or has limited experience and /or knowledge of policing environments. The qualification will generally be accessed by candidates from varied contexts such as</w:t>
      </w:r>
      <w:r w:rsidRPr="00045EDB">
        <w:t xml:space="preserve"> school leavers, candidates who have completed other qualifications and candidates who have experience in other industries and/or completed qualifications in other disciplines.</w:t>
      </w:r>
    </w:p>
    <w:p w:rsidR="00000000" w:rsidRPr="00045EDB" w:rsidRDefault="0014231B" w:rsidP="00045EDB">
      <w:pPr>
        <w:pStyle w:val="BodyText"/>
      </w:pPr>
      <w:r w:rsidRPr="00045EDB">
        <w:t>Pathways for candidates considering this qualification may include:</w:t>
      </w:r>
    </w:p>
    <w:p w:rsidR="00000000" w:rsidRPr="00045EDB" w:rsidRDefault="0014231B" w:rsidP="00045EDB">
      <w:pPr>
        <w:pStyle w:val="ListBullet"/>
      </w:pPr>
      <w:r w:rsidRPr="00045EDB">
        <w:t>achievemen</w:t>
      </w:r>
      <w:r w:rsidRPr="00045EDB">
        <w:t>t of other Public Safety Training Package qualifications at Certificate IV level</w:t>
      </w:r>
    </w:p>
    <w:p w:rsidR="00000000" w:rsidRPr="00045EDB" w:rsidRDefault="0014231B" w:rsidP="00045EDB">
      <w:pPr>
        <w:pStyle w:val="ListBullet"/>
      </w:pPr>
      <w:r w:rsidRPr="00045EDB">
        <w:t>completion of police jurisdictional specific training</w:t>
      </w:r>
    </w:p>
    <w:p w:rsidR="00000000" w:rsidRPr="00045EDB" w:rsidRDefault="0014231B" w:rsidP="00045EDB">
      <w:pPr>
        <w:pStyle w:val="ListBullet"/>
      </w:pPr>
      <w:r w:rsidRPr="00045EDB">
        <w:t>entry points that demonstrate potential to undertake vocational education and training at this qualification level, such as vocational experience in a range of environments at the level supporting this qualification.</w:t>
      </w:r>
    </w:p>
    <w:p w:rsidR="00000000" w:rsidRPr="00045EDB" w:rsidRDefault="0014231B" w:rsidP="00045EDB">
      <w:pPr>
        <w:pStyle w:val="BodyText"/>
      </w:pPr>
      <w:r w:rsidRPr="00045EDB">
        <w:rPr>
          <w:rStyle w:val="SpecialBold"/>
        </w:rPr>
        <w:t>Pathways from the qualification</w:t>
      </w:r>
    </w:p>
    <w:p w:rsidR="00000000" w:rsidRPr="00045EDB" w:rsidRDefault="0014231B" w:rsidP="00045EDB">
      <w:pPr>
        <w:pStyle w:val="BodyText"/>
      </w:pPr>
      <w:r w:rsidRPr="00045EDB">
        <w:t>After a</w:t>
      </w:r>
      <w:r w:rsidRPr="00045EDB">
        <w:t>chieving the PUA50212 Diploma of Public Safety (Policing), candidates may undertake a range of qualifications relevant to their role. Pathways for candidates considering this qualification may include to:</w:t>
      </w:r>
    </w:p>
    <w:p w:rsidR="00000000" w:rsidRPr="00045EDB" w:rsidRDefault="0014231B" w:rsidP="00045EDB">
      <w:pPr>
        <w:pStyle w:val="ListBullet"/>
      </w:pPr>
      <w:r w:rsidRPr="00045EDB">
        <w:t>commence the PUA61812 Advanced Diploma of Public S</w:t>
      </w:r>
      <w:r w:rsidRPr="00045EDB">
        <w:t>afety (Police Supervision)</w:t>
      </w:r>
    </w:p>
    <w:p w:rsidR="00000000" w:rsidRPr="00045EDB" w:rsidRDefault="0014231B" w:rsidP="00045EDB">
      <w:pPr>
        <w:pStyle w:val="ListBullet"/>
      </w:pPr>
      <w:r w:rsidRPr="00045EDB">
        <w:t xml:space="preserve">undertake specific technical specialist qualifications. </w:t>
      </w:r>
    </w:p>
    <w:p w:rsidR="00000000" w:rsidRPr="00045EDB" w:rsidRDefault="0014231B" w:rsidP="00045EDB">
      <w:pPr>
        <w:pStyle w:val="AllowPageBreak"/>
      </w:pPr>
    </w:p>
    <w:p w:rsidR="00000000" w:rsidRPr="00045EDB" w:rsidRDefault="0014231B" w:rsidP="00045EDB">
      <w:pPr>
        <w:pStyle w:val="Heading1"/>
      </w:pPr>
      <w:bookmarkStart w:id="4" w:name="O_462212"/>
      <w:bookmarkEnd w:id="4"/>
      <w:r w:rsidRPr="00045EDB">
        <w:t>Licensing/Regulatory Information</w:t>
      </w:r>
    </w:p>
    <w:p w:rsidR="00000000" w:rsidRPr="00045EDB" w:rsidRDefault="0014231B" w:rsidP="00045EDB">
      <w:pPr>
        <w:pStyle w:val="BodyText"/>
      </w:pPr>
      <w:r w:rsidRPr="00045EDB">
        <w:t>Not applicable.</w:t>
      </w:r>
    </w:p>
    <w:p w:rsidR="00000000" w:rsidRPr="00045EDB" w:rsidRDefault="0014231B" w:rsidP="00045EDB">
      <w:pPr>
        <w:pStyle w:val="AllowPageBreak"/>
      </w:pPr>
    </w:p>
    <w:p w:rsidR="00000000" w:rsidRPr="00045EDB" w:rsidRDefault="0014231B" w:rsidP="00045EDB">
      <w:pPr>
        <w:pStyle w:val="Heading1"/>
      </w:pPr>
      <w:bookmarkStart w:id="5" w:name="O_462213"/>
      <w:bookmarkEnd w:id="5"/>
      <w:r w:rsidRPr="00045EDB">
        <w:t>Entry Requirements</w:t>
      </w:r>
    </w:p>
    <w:p w:rsidR="00000000" w:rsidRPr="00045EDB" w:rsidRDefault="0014231B" w:rsidP="00045EDB">
      <w:pPr>
        <w:pStyle w:val="BodyText"/>
      </w:pPr>
      <w:r w:rsidRPr="00045EDB">
        <w:t>Not applicable.</w:t>
      </w:r>
    </w:p>
    <w:p w:rsidR="00000000" w:rsidRPr="00045EDB" w:rsidRDefault="0014231B" w:rsidP="00045EDB">
      <w:pPr>
        <w:pStyle w:val="AllowPageBreak"/>
      </w:pPr>
    </w:p>
    <w:p w:rsidR="00000000" w:rsidRPr="00045EDB" w:rsidRDefault="0014231B" w:rsidP="00045EDB">
      <w:pPr>
        <w:pStyle w:val="Heading1"/>
      </w:pPr>
      <w:bookmarkStart w:id="6" w:name="O_462214"/>
      <w:bookmarkEnd w:id="6"/>
      <w:r w:rsidRPr="00045EDB">
        <w:lastRenderedPageBreak/>
        <w:t>Employability Skills Summary</w:t>
      </w:r>
    </w:p>
    <w:p w:rsidR="00000000" w:rsidRPr="00045EDB" w:rsidRDefault="0014231B" w:rsidP="00045EDB">
      <w:pPr>
        <w:pStyle w:val="BodyText"/>
      </w:pPr>
      <w:r w:rsidRPr="00045EDB">
        <w:t>Employab</w:t>
      </w:r>
      <w:r w:rsidRPr="00045EDB">
        <w:t xml:space="preserve">ility Skills are part of a unit of competency. </w:t>
      </w:r>
    </w:p>
    <w:p w:rsidR="00000000" w:rsidRPr="00045EDB" w:rsidRDefault="0014231B" w:rsidP="00045EDB">
      <w:pPr>
        <w:pStyle w:val="BodyText"/>
      </w:pPr>
      <w:r w:rsidRPr="00045EDB">
        <w:t>Employability Skills statements from a selection of units of competency from the PUA50212 Diploma of Public Safety (Policing) have been reproduced in the table below.</w:t>
      </w:r>
    </w:p>
    <w:p w:rsidR="00000000" w:rsidRPr="00045EDB" w:rsidRDefault="0014231B" w:rsidP="00045EDB">
      <w:pPr>
        <w:pStyle w:val="BodyText"/>
      </w:pPr>
      <w:r w:rsidRPr="00045EDB">
        <w:t>This table provides an example of Employa</w:t>
      </w:r>
      <w:r w:rsidRPr="00045EDB">
        <w:t>bility Skills for the qualification because Employability Skills within a qualification will vary depending on the qualification packaging options.</w:t>
      </w:r>
    </w:p>
    <w:p w:rsidR="00000000" w:rsidRPr="00045EDB" w:rsidRDefault="0014231B" w:rsidP="00045EDB">
      <w:pPr>
        <w:pStyle w:val="BodyText"/>
      </w:pPr>
      <w:r w:rsidRPr="00045EDB">
        <w:t>Public Safety qualifications have core units (which must be achieved) and elective units (where there is a c</w:t>
      </w:r>
      <w:r w:rsidRPr="00045EDB">
        <w:t>hoice of units which must be achieved) so different Employability Skills Summaries are possible within the one qualification, depending on the package of core units and chosen elective units.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6713"/>
      </w:tblGrid>
      <w:tr w:rsidR="00000000" w:rsidRPr="00045EDB" w:rsidTr="00045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BodyText"/>
            </w:pPr>
            <w:r w:rsidRPr="00045EDB">
              <w:rPr>
                <w:rStyle w:val="SpecialBold"/>
              </w:rPr>
              <w:t>Employability Skill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Employability Skills Statement</w:t>
            </w:r>
          </w:p>
        </w:tc>
      </w:tr>
      <w:tr w:rsidR="00000000" w:rsidRPr="00045EDB" w:rsidTr="00045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Communication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ListBullet"/>
            </w:pPr>
            <w:r w:rsidRPr="00045EDB">
              <w:t>communicate effectively with a wide range of community members such as those with physical/sensory/intellectual impairment and with different cultural backgrounds</w:t>
            </w:r>
          </w:p>
          <w:p w:rsidR="00000000" w:rsidRPr="00045EDB" w:rsidRDefault="0014231B" w:rsidP="00045EDB">
            <w:pPr>
              <w:pStyle w:val="TableListBullet"/>
            </w:pPr>
            <w:r w:rsidRPr="00045EDB">
              <w:t>communicate in writing (prepare briefs of evidence, exhibit register)</w:t>
            </w:r>
          </w:p>
          <w:p w:rsidR="00000000" w:rsidRDefault="0014231B" w:rsidP="00045EDB">
            <w:pPr>
              <w:pStyle w:val="TableListBullet"/>
              <w:rPr>
                <w:lang w:val="en-NZ"/>
              </w:rPr>
            </w:pPr>
            <w:r w:rsidRPr="00045EDB">
              <w:t xml:space="preserve">prepare </w:t>
            </w:r>
            <w:r w:rsidRPr="00045EDB">
              <w:t>and compile statements</w:t>
            </w:r>
          </w:p>
        </w:tc>
      </w:tr>
      <w:tr w:rsidR="00000000" w:rsidRPr="00045EDB" w:rsidTr="00045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Teamwork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ListBullet"/>
            </w:pPr>
            <w:r w:rsidRPr="00045EDB">
              <w:t>promote the organisation in the community</w:t>
            </w:r>
          </w:p>
          <w:p w:rsidR="00000000" w:rsidRPr="00045EDB" w:rsidRDefault="0014231B" w:rsidP="00045EDB">
            <w:pPr>
              <w:pStyle w:val="TableListBullet"/>
            </w:pPr>
            <w:r w:rsidRPr="00045EDB">
              <w:t>seek out and respond effectively to feedback related to personal performance</w:t>
            </w:r>
          </w:p>
          <w:p w:rsidR="00000000" w:rsidRDefault="0014231B" w:rsidP="00045EDB">
            <w:pPr>
              <w:pStyle w:val="TableListBullet"/>
              <w:rPr>
                <w:lang w:val="en-NZ"/>
              </w:rPr>
            </w:pPr>
            <w:r w:rsidRPr="00045EDB">
              <w:t>work in a team</w:t>
            </w:r>
          </w:p>
        </w:tc>
      </w:tr>
      <w:tr w:rsidR="00000000" w:rsidRPr="00045EDB" w:rsidTr="00045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Problem solving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ListBullet"/>
            </w:pPr>
            <w:r w:rsidRPr="00045EDB">
              <w:t>make decisions and solve problems</w:t>
            </w:r>
          </w:p>
          <w:p w:rsidR="00000000" w:rsidRPr="00045EDB" w:rsidRDefault="0014231B" w:rsidP="00045EDB">
            <w:pPr>
              <w:pStyle w:val="TableListBullet"/>
            </w:pPr>
            <w:r w:rsidRPr="00045EDB">
              <w:t>negotiate/resolve/mediate conflict (negotiation can take place with supervisors, colleagues and members of the public)</w:t>
            </w:r>
          </w:p>
          <w:p w:rsidR="00000000" w:rsidRDefault="0014231B" w:rsidP="00045EDB">
            <w:pPr>
              <w:pStyle w:val="TableListBullet"/>
              <w:rPr>
                <w:lang w:val="en-NZ"/>
              </w:rPr>
            </w:pPr>
            <w:r w:rsidRPr="00045EDB">
              <w:t>recognise and accurately assess, situational risks/hazards</w:t>
            </w:r>
          </w:p>
        </w:tc>
      </w:tr>
      <w:tr w:rsidR="00000000" w:rsidRPr="00045EDB" w:rsidTr="00045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Initiative and enterprise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ListBullet"/>
            </w:pPr>
            <w:r w:rsidRPr="00045EDB">
              <w:t>de-escalate incidents</w:t>
            </w:r>
          </w:p>
          <w:p w:rsidR="00000000" w:rsidRPr="00045EDB" w:rsidRDefault="0014231B" w:rsidP="00045EDB">
            <w:pPr>
              <w:pStyle w:val="TableListBullet"/>
            </w:pPr>
            <w:r w:rsidRPr="00045EDB">
              <w:t>maintain an acceptable demea</w:t>
            </w:r>
            <w:r w:rsidRPr="00045EDB">
              <w:t>nour (in relation to issues such as appearance, confidence, deportment, dress standard)</w:t>
            </w:r>
          </w:p>
          <w:p w:rsidR="00000000" w:rsidRDefault="0014231B" w:rsidP="00045EDB">
            <w:pPr>
              <w:pStyle w:val="TableListBullet"/>
              <w:rPr>
                <w:lang w:val="en-NZ"/>
              </w:rPr>
            </w:pPr>
            <w:r w:rsidRPr="00045EDB">
              <w:t>minimise workplace risks to self, colleagues and the public</w:t>
            </w:r>
          </w:p>
        </w:tc>
      </w:tr>
      <w:tr w:rsidR="00000000" w:rsidRPr="00045EDB" w:rsidTr="00045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Planning and organising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ListBullet"/>
            </w:pPr>
            <w:r w:rsidRPr="00045EDB">
              <w:t>analyse and plan appropriate action</w:t>
            </w:r>
          </w:p>
          <w:p w:rsidR="00000000" w:rsidRPr="00045EDB" w:rsidRDefault="0014231B" w:rsidP="00045EDB">
            <w:pPr>
              <w:pStyle w:val="TableListBullet"/>
            </w:pPr>
            <w:r w:rsidRPr="00045EDB">
              <w:t>command, control, coordinate initial emergency</w:t>
            </w:r>
            <w:r w:rsidRPr="00045EDB">
              <w:t xml:space="preserve"> responses at an incident scene</w:t>
            </w:r>
          </w:p>
          <w:p w:rsidR="00000000" w:rsidRDefault="0014231B" w:rsidP="00045EDB">
            <w:pPr>
              <w:pStyle w:val="TableListBullet"/>
              <w:rPr>
                <w:lang w:val="en-NZ"/>
              </w:rPr>
            </w:pPr>
            <w:r w:rsidRPr="00045EDB">
              <w:t>organise and manage time effectively</w:t>
            </w:r>
          </w:p>
        </w:tc>
      </w:tr>
      <w:tr w:rsidR="00000000" w:rsidRPr="00045EDB" w:rsidTr="00045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Self</w:t>
            </w:r>
            <w:r w:rsidRPr="00045EDB">
              <w:rPr>
                <w:rStyle w:val="SpecialBold"/>
              </w:rPr>
              <w:noBreakHyphen/>
              <w:t>management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ListBullet"/>
            </w:pPr>
            <w:r w:rsidRPr="00045EDB">
              <w:t>act autonomously</w:t>
            </w:r>
          </w:p>
          <w:p w:rsidR="00000000" w:rsidRPr="00045EDB" w:rsidRDefault="0014231B" w:rsidP="00045EDB">
            <w:pPr>
              <w:pStyle w:val="TableListBullet"/>
            </w:pPr>
            <w:r w:rsidRPr="00045EDB">
              <w:t>maintain consistently high levels of professional ethics and integrity in all work practices and dealings with the community</w:t>
            </w:r>
          </w:p>
          <w:p w:rsidR="00000000" w:rsidRDefault="0014231B" w:rsidP="00045EDB">
            <w:pPr>
              <w:pStyle w:val="TableListBullet"/>
              <w:rPr>
                <w:lang w:val="en-NZ"/>
              </w:rPr>
            </w:pPr>
            <w:r w:rsidRPr="00045EDB">
              <w:t>recognise, accurately assess and acknowledge personal strengths and weaknesses</w:t>
            </w:r>
          </w:p>
        </w:tc>
      </w:tr>
      <w:tr w:rsidR="00000000" w:rsidRPr="00045EDB" w:rsidTr="00045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Learning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ListBullet"/>
            </w:pPr>
            <w:r w:rsidRPr="00045EDB">
              <w:t>learn about jurisdictional laws, policy and procedures</w:t>
            </w:r>
          </w:p>
          <w:p w:rsidR="00000000" w:rsidRPr="00045EDB" w:rsidRDefault="0014231B" w:rsidP="00045EDB">
            <w:pPr>
              <w:pStyle w:val="TableListBullet"/>
            </w:pPr>
            <w:r w:rsidRPr="00045EDB">
              <w:t>learn organisational Codes of Ethics</w:t>
            </w:r>
          </w:p>
          <w:p w:rsidR="00000000" w:rsidRDefault="0014231B" w:rsidP="00045EDB">
            <w:pPr>
              <w:pStyle w:val="TableListBullet"/>
              <w:rPr>
                <w:lang w:val="en-NZ"/>
              </w:rPr>
            </w:pPr>
            <w:r w:rsidRPr="00045EDB">
              <w:t>plan and implement personal improvement plans</w:t>
            </w:r>
          </w:p>
        </w:tc>
      </w:tr>
      <w:tr w:rsidR="00000000" w:rsidRPr="00045EDB" w:rsidTr="00045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Technology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ListBullet"/>
            </w:pPr>
            <w:r w:rsidRPr="00045EDB">
              <w:t>maintain a prof</w:t>
            </w:r>
            <w:r w:rsidRPr="00045EDB">
              <w:t>essional safety first attitude to the use of police equipment</w:t>
            </w:r>
          </w:p>
          <w:p w:rsidR="00000000" w:rsidRPr="00045EDB" w:rsidRDefault="0014231B" w:rsidP="00045EDB">
            <w:pPr>
              <w:pStyle w:val="TableListBullet"/>
            </w:pPr>
            <w:r w:rsidRPr="00045EDB">
              <w:t>operate interviewing recording equipment</w:t>
            </w:r>
          </w:p>
          <w:p w:rsidR="00000000" w:rsidRPr="00045EDB" w:rsidRDefault="0014231B" w:rsidP="00045EDB">
            <w:pPr>
              <w:pStyle w:val="TableListBullet"/>
            </w:pPr>
            <w:r w:rsidRPr="00045EDB">
              <w:t>safely operate and use general issue and emergency operational equipment and safety clothing</w:t>
            </w:r>
          </w:p>
        </w:tc>
      </w:tr>
    </w:tbl>
    <w:p w:rsidR="00000000" w:rsidRPr="00045EDB" w:rsidRDefault="0014231B" w:rsidP="00045EDB">
      <w:pPr>
        <w:pStyle w:val="BodyText"/>
      </w:pPr>
    </w:p>
    <w:p w:rsidR="00000000" w:rsidRPr="00045EDB" w:rsidRDefault="0014231B" w:rsidP="00045EDB">
      <w:pPr>
        <w:pStyle w:val="AllowPageBreak"/>
      </w:pPr>
    </w:p>
    <w:p w:rsidR="00000000" w:rsidRPr="00045EDB" w:rsidRDefault="0014231B" w:rsidP="00045EDB">
      <w:pPr>
        <w:pStyle w:val="Heading1"/>
      </w:pPr>
      <w:bookmarkStart w:id="7" w:name="O_462215"/>
      <w:bookmarkEnd w:id="7"/>
      <w:r w:rsidRPr="00045EDB">
        <w:lastRenderedPageBreak/>
        <w:t>Packaging Rules</w:t>
      </w:r>
    </w:p>
    <w:p w:rsidR="00000000" w:rsidRPr="00045EDB" w:rsidRDefault="0014231B" w:rsidP="00045EDB">
      <w:pPr>
        <w:pStyle w:val="BodyText"/>
      </w:pPr>
    </w:p>
    <w:p w:rsidR="00000000" w:rsidRPr="00045EDB" w:rsidRDefault="0014231B" w:rsidP="00045EDB">
      <w:pPr>
        <w:pStyle w:val="BodyText"/>
      </w:pPr>
      <w:r w:rsidRPr="00045EDB">
        <w:t>13 units of competency are required for this qualification including:</w:t>
      </w:r>
    </w:p>
    <w:p w:rsidR="00000000" w:rsidRPr="00045EDB" w:rsidRDefault="0014231B" w:rsidP="00045EDB">
      <w:pPr>
        <w:pStyle w:val="ListBullet"/>
      </w:pPr>
      <w:r w:rsidRPr="00045EDB">
        <w:t>12 core units</w:t>
      </w:r>
    </w:p>
    <w:p w:rsidR="00000000" w:rsidRPr="00045EDB" w:rsidRDefault="0014231B" w:rsidP="00045EDB">
      <w:pPr>
        <w:pStyle w:val="ListBullet"/>
      </w:pPr>
      <w:r w:rsidRPr="00045EDB">
        <w:t>1 elective unit</w:t>
      </w:r>
    </w:p>
    <w:p w:rsidR="00000000" w:rsidRPr="00045EDB" w:rsidRDefault="0014231B" w:rsidP="00045EDB">
      <w:pPr>
        <w:pStyle w:val="BodyText"/>
      </w:pPr>
    </w:p>
    <w:p w:rsidR="00000000" w:rsidRPr="00045EDB" w:rsidRDefault="0014231B" w:rsidP="00045EDB">
      <w:pPr>
        <w:pStyle w:val="BodyText"/>
      </w:pPr>
      <w:r w:rsidRPr="00045EDB">
        <w:t xml:space="preserve">Choose the elective unit from either the elective list below, </w:t>
      </w:r>
      <w:r w:rsidRPr="00045EDB">
        <w:rPr>
          <w:rStyle w:val="SpecialBold"/>
        </w:rPr>
        <w:t>or</w:t>
      </w:r>
      <w:r w:rsidRPr="00045EDB">
        <w:t xml:space="preserve"> elsewhere within this training package, </w:t>
      </w:r>
      <w:r w:rsidRPr="00045EDB">
        <w:rPr>
          <w:rStyle w:val="SpecialBold"/>
        </w:rPr>
        <w:t>or</w:t>
      </w:r>
      <w:r w:rsidRPr="00045EDB">
        <w:t xml:space="preserve"> another endorsed training package, </w:t>
      </w:r>
      <w:r w:rsidRPr="00045EDB">
        <w:rPr>
          <w:rStyle w:val="SpecialBold"/>
        </w:rPr>
        <w:t>or</w:t>
      </w:r>
      <w:r w:rsidRPr="00045EDB">
        <w:t xml:space="preserve"> accredit</w:t>
      </w:r>
      <w:r w:rsidRPr="00045EDB">
        <w:t>ed course.</w:t>
      </w:r>
    </w:p>
    <w:p w:rsidR="00000000" w:rsidRPr="00045EDB" w:rsidRDefault="0014231B" w:rsidP="00045EDB">
      <w:pPr>
        <w:pStyle w:val="BodyText"/>
      </w:pPr>
    </w:p>
    <w:p w:rsidR="00000000" w:rsidRPr="00045EDB" w:rsidRDefault="0014231B" w:rsidP="00045EDB">
      <w:pPr>
        <w:pStyle w:val="BodyText"/>
      </w:pPr>
      <w:r w:rsidRPr="00045EDB">
        <w:t>Elective unit selected from outside this qualification must be from an equivalent qualification level or higher.</w:t>
      </w:r>
    </w:p>
    <w:p w:rsidR="00000000" w:rsidRPr="00045EDB" w:rsidRDefault="0014231B" w:rsidP="00045EDB">
      <w:pPr>
        <w:pStyle w:val="BodyText"/>
      </w:pPr>
    </w:p>
    <w:p w:rsidR="00000000" w:rsidRPr="00045EDB" w:rsidRDefault="0014231B" w:rsidP="00045EDB">
      <w:pPr>
        <w:pStyle w:val="BodyText"/>
      </w:pPr>
      <w:r w:rsidRPr="00045EDB">
        <w:rPr>
          <w:rStyle w:val="SpecialBold"/>
        </w:rPr>
        <w:t>Elective units selected must not duplicate content already covered by other units in this qualification.</w:t>
      </w:r>
    </w:p>
    <w:p w:rsidR="00000000" w:rsidRPr="00045EDB" w:rsidRDefault="0014231B" w:rsidP="00045EDB">
      <w:pPr>
        <w:pStyle w:val="BodyText"/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6946"/>
      </w:tblGrid>
      <w:tr w:rsidR="00000000" w:rsidTr="00045EDB">
        <w:trPr>
          <w:trHeight w:val="247"/>
        </w:trPr>
        <w:tc>
          <w:tcPr>
            <w:tcW w:w="1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BodyText"/>
            </w:pPr>
            <w:r w:rsidRPr="00045EDB">
              <w:rPr>
                <w:rStyle w:val="SpecialBold"/>
              </w:rPr>
              <w:t>Code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Core Units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PUACOM005B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Foster a positive organisational image in the community</w:t>
            </w:r>
          </w:p>
        </w:tc>
      </w:tr>
      <w:tr w:rsidR="00000000" w:rsidTr="00045EDB">
        <w:trPr>
          <w:trHeight w:val="31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PUAPOLGD001A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Maintain police operational safety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PUAPOLGD002A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Apply policing methods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PUAPOLGD003A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Undertake initial police investigation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PUAPOLGD004A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Gather, collate and record police information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PUAPOLGD005A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Use and maintain police operational equipment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PUAPOLGD006A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Facilitate effective communication in the policing environment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PUAPOLGD007A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 xml:space="preserve">Manage persons in care or custody 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PUAPOLGD009A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Manage inv</w:t>
            </w:r>
            <w:r w:rsidRPr="00045EDB">
              <w:t>olvement in the judicial process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PUAPOLGD010A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Perform police administrative duties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PUAPOLGD011A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Manage personal and ethical performance</w:t>
            </w:r>
          </w:p>
        </w:tc>
      </w:tr>
      <w:tr w:rsidR="00000000" w:rsidRPr="00045EDB" w:rsidTr="00045EDB">
        <w:trPr>
          <w:trHeight w:val="29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PUAPOLGD012A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Address customer needs</w:t>
            </w:r>
          </w:p>
        </w:tc>
      </w:tr>
      <w:tr w:rsidR="00000000" w:rsidTr="00045EDB">
        <w:tc>
          <w:tcPr>
            <w:tcW w:w="1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BodyText"/>
            </w:pPr>
            <w:r w:rsidRPr="00045EDB">
              <w:rPr>
                <w:rStyle w:val="SpecialBold"/>
              </w:rPr>
              <w:t>Code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rPr>
                <w:rStyle w:val="SpecialBold"/>
              </w:rPr>
              <w:t>Elective Units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PUAPOLGD014A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Drive police vehicles</w:t>
            </w:r>
          </w:p>
        </w:tc>
      </w:tr>
      <w:tr w:rsidR="00000000" w:rsidTr="00045E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PUAPOLGD016A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Perform inter-jurisdictional police duties</w:t>
            </w:r>
          </w:p>
        </w:tc>
      </w:tr>
      <w:tr w:rsidR="00000000" w:rsidRPr="00045EDB" w:rsidTr="00045EDB">
        <w:tc>
          <w:tcPr>
            <w:tcW w:w="198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14231B" w:rsidP="00045EDB">
            <w:pPr>
              <w:pStyle w:val="TableBodyText"/>
              <w:rPr>
                <w:lang w:val="en-NZ"/>
              </w:rPr>
            </w:pPr>
            <w:r w:rsidRPr="00045EDB">
              <w:t>PUATEA001B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TableBodyText"/>
            </w:pPr>
            <w:r w:rsidRPr="00045EDB">
              <w:t>Work in a team</w:t>
            </w:r>
          </w:p>
        </w:tc>
      </w:tr>
    </w:tbl>
    <w:p w:rsidR="00000000" w:rsidRPr="00045EDB" w:rsidRDefault="0014231B" w:rsidP="00045EDB">
      <w:pPr>
        <w:pStyle w:val="BodyText"/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20"/>
      </w:tblGrid>
      <w:tr w:rsidR="00000000" w:rsidRPr="00045EDB" w:rsidTr="00045EDB">
        <w:trPr>
          <w:trHeight w:val="123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045EDB" w:rsidRDefault="0014231B" w:rsidP="00045EDB">
            <w:pPr>
              <w:pStyle w:val="BodyText"/>
            </w:pPr>
            <w:r w:rsidRPr="00045EDB">
              <w:rPr>
                <w:rStyle w:val="SpecialBold"/>
              </w:rPr>
              <w:t>NOTE</w:t>
            </w:r>
          </w:p>
          <w:p w:rsidR="00000000" w:rsidRPr="00045EDB" w:rsidRDefault="0014231B" w:rsidP="00045EDB">
            <w:pPr>
              <w:pStyle w:val="BodyText"/>
            </w:pPr>
            <w:r w:rsidRPr="00045EDB">
              <w:t xml:space="preserve">Information about customising PUA12 Public Safety Training Package qualifications in the </w:t>
            </w:r>
            <w:r w:rsidRPr="00045EDB">
              <w:t>Customisation of Qualifications</w:t>
            </w:r>
            <w:r w:rsidRPr="00045EDB">
              <w:t xml:space="preserve"> section.</w:t>
            </w:r>
          </w:p>
        </w:tc>
      </w:tr>
    </w:tbl>
    <w:p w:rsidR="00000000" w:rsidRPr="00045EDB" w:rsidRDefault="0014231B" w:rsidP="00045EDB">
      <w:pPr>
        <w:pStyle w:val="BodyText"/>
      </w:pPr>
    </w:p>
    <w:p w:rsidR="00000000" w:rsidRPr="00045EDB" w:rsidRDefault="0014231B" w:rsidP="00045EDB"/>
    <w:sectPr w:rsidR="00000000" w:rsidRPr="00045EDB" w:rsidSect="00045EDB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31B">
      <w:r>
        <w:separator/>
      </w:r>
    </w:p>
  </w:endnote>
  <w:endnote w:type="continuationSeparator" w:id="0">
    <w:p w:rsidR="00000000" w:rsidRDefault="0014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DB" w:rsidRDefault="00045EDB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14231B" w:rsidRDefault="0014231B" w:rsidP="0014231B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DB" w:rsidRDefault="00045EDB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1B" w:rsidRDefault="0014231B" w:rsidP="00045EDB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6</w:t>
      </w:r>
    </w:fldSimple>
  </w:p>
  <w:p w:rsidR="0014231B" w:rsidRDefault="0014231B" w:rsidP="00045EDB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2012</w:t>
    </w:r>
    <w:r>
      <w:fldChar w:fldCharType="end"/>
    </w:r>
    <w:r>
      <w:tab/>
    </w:r>
    <w:fldSimple w:instr=" DOCPROPERTY  Author  \* MERGEFORMAT ">
      <w:r>
        <w:t>Government Skills Australia</w:t>
      </w:r>
    </w:fldSimple>
  </w:p>
  <w:p w:rsidR="0014231B" w:rsidRDefault="0014231B" w:rsidP="00045EDB">
    <w:pPr>
      <w:pStyle w:val="Footer"/>
      <w:framePr w:wrap="around" w:hAnchor="text" w:x="285"/>
      <w:pBdr>
        <w:top w:val="none" w:sz="0" w:space="0" w:color="auto"/>
      </w:pBdr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31B">
      <w:r>
        <w:separator/>
      </w:r>
    </w:p>
  </w:footnote>
  <w:footnote w:type="continuationSeparator" w:id="0">
    <w:p w:rsidR="00000000" w:rsidRDefault="0014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DB" w:rsidRDefault="00045EDB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DB" w:rsidRPr="0014231B" w:rsidRDefault="0014231B" w:rsidP="0014231B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E08EB8" wp14:editId="3BD00F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032" cy="10953482"/>
          <wp:effectExtent l="19050" t="0" r="268" b="0"/>
          <wp:wrapNone/>
          <wp:docPr id="2" name="Picture 0" descr="titl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032" cy="1095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DB" w:rsidRDefault="00045EDB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1B" w:rsidRPr="002D2AF8" w:rsidRDefault="0014231B" w:rsidP="00045EDB">
    <w:pPr>
      <w:pStyle w:val="Header"/>
      <w:framePr w:wrap="around"/>
    </w:pPr>
    <w:fldSimple w:instr=" TITLE   \* MERGEFORMAT ">
      <w:r>
        <w:t>PUA50212 Diploma of Public Safety (Policing)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20 August 2012</w:t>
    </w:r>
    <w:r>
      <w:fldChar w:fldCharType="end"/>
    </w:r>
  </w:p>
  <w:p w:rsidR="0014231B" w:rsidRDefault="0014231B" w:rsidP="00045EDB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E86888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C7A0CEFE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5EDB"/>
    <w:rsid w:val="00045EDB"/>
    <w:rsid w:val="001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DB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045EDB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045EDB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045EDB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045EDB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045EDB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045EDB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045ED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045ED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045ED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045E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5EDB"/>
  </w:style>
  <w:style w:type="character" w:customStyle="1" w:styleId="Heading1Char">
    <w:name w:val="Heading 1 Char"/>
    <w:basedOn w:val="DefaultParagraphFont"/>
    <w:link w:val="Heading1"/>
    <w:rsid w:val="00045EDB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045EDB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045EDB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rsid w:val="00045EDB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045EDB"/>
    <w:rPr>
      <w:rFonts w:ascii="Times New Roman" w:eastAsia="Times New Roman" w:hAnsi="Times New Roman" w:cs="Times New Roman"/>
      <w:sz w:val="16"/>
      <w:lang w:eastAsia="en-US"/>
    </w:rPr>
  </w:style>
  <w:style w:type="paragraph" w:styleId="ListBullet">
    <w:name w:val="List Bullet"/>
    <w:basedOn w:val="List"/>
    <w:rsid w:val="00045EDB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045EDB"/>
    <w:rPr>
      <w:b/>
      <w:spacing w:val="0"/>
    </w:rPr>
  </w:style>
  <w:style w:type="paragraph" w:customStyle="1" w:styleId="SuperHeading">
    <w:name w:val="SuperHeading"/>
    <w:basedOn w:val="Normal"/>
    <w:rsid w:val="00045EDB"/>
    <w:pPr>
      <w:spacing w:before="240" w:after="120"/>
      <w:outlineLvl w:val="0"/>
    </w:pPr>
    <w:rPr>
      <w:rFonts w:ascii="Times New Roman" w:hAnsi="Times New Roman"/>
      <w:b/>
      <w:sz w:val="28"/>
    </w:rPr>
  </w:style>
  <w:style w:type="paragraph" w:customStyle="1" w:styleId="AllowPageBreak">
    <w:name w:val="AllowPageBreak"/>
    <w:rsid w:val="00045ED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paragraph" w:customStyle="1" w:styleId="TableBodyText">
    <w:name w:val="Table Body Text"/>
    <w:basedOn w:val="BodyText"/>
    <w:rsid w:val="00045EDB"/>
    <w:pPr>
      <w:spacing w:before="60" w:after="60"/>
    </w:pPr>
  </w:style>
  <w:style w:type="paragraph" w:customStyle="1" w:styleId="TableListBullet">
    <w:name w:val="Table List Bullet"/>
    <w:basedOn w:val="ListBullet"/>
    <w:rsid w:val="00045EDB"/>
    <w:pPr>
      <w:tabs>
        <w:tab w:val="num" w:pos="360"/>
      </w:tabs>
    </w:pPr>
  </w:style>
  <w:style w:type="character" w:customStyle="1" w:styleId="Heading2Char">
    <w:name w:val="Heading 2 Char"/>
    <w:basedOn w:val="DefaultParagraphFont"/>
    <w:link w:val="Heading2"/>
    <w:rsid w:val="00045EDB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045EDB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45EDB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45EDB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45EDB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45EDB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45EDB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45EDB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045ED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045EDB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045EDB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045EDB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045EDB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Title">
    <w:name w:val="Title"/>
    <w:basedOn w:val="HeadingBase"/>
    <w:link w:val="TitleChar"/>
    <w:qFormat/>
    <w:rsid w:val="00045EDB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045EDB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045EDB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045EDB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045EDB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045EDB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045EDB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045EDB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045EDB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045EDB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045EDB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045EDB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045EDB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045EDB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045EDB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045EDB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045EDB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045EDB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045EDB"/>
    <w:rPr>
      <w:i/>
    </w:rPr>
  </w:style>
  <w:style w:type="paragraph" w:styleId="Caption">
    <w:name w:val="caption"/>
    <w:basedOn w:val="BodyText"/>
    <w:next w:val="Normal"/>
    <w:qFormat/>
    <w:rsid w:val="00045EDB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045EDB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045EDB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045EDB"/>
  </w:style>
  <w:style w:type="paragraph" w:styleId="TableofFigures">
    <w:name w:val="table of figures"/>
    <w:basedOn w:val="Normal"/>
    <w:next w:val="Normal"/>
    <w:semiHidden/>
    <w:rsid w:val="00045EDB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045EDB"/>
    <w:pPr>
      <w:numPr>
        <w:numId w:val="10"/>
      </w:numPr>
    </w:pPr>
  </w:style>
  <w:style w:type="character" w:customStyle="1" w:styleId="WingdingSymbols">
    <w:name w:val="Wingding Symbols"/>
    <w:rsid w:val="00045EDB"/>
    <w:rPr>
      <w:rFonts w:ascii="Wingdings" w:hAnsi="Wingdings"/>
    </w:rPr>
  </w:style>
  <w:style w:type="paragraph" w:customStyle="1" w:styleId="TableHeading">
    <w:name w:val="Table Heading"/>
    <w:basedOn w:val="HeadingBase"/>
    <w:rsid w:val="00045EDB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045EDB"/>
    <w:rPr>
      <w:color w:val="0033CC"/>
      <w:u w:val="none"/>
    </w:rPr>
  </w:style>
  <w:style w:type="paragraph" w:customStyle="1" w:styleId="BodyTextRight">
    <w:name w:val="Body Text Right"/>
    <w:basedOn w:val="BodyText"/>
    <w:rsid w:val="00045EDB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045EDB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045EDB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045EDB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045EDB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045EDB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045EDB"/>
    <w:rPr>
      <w:sz w:val="32"/>
    </w:rPr>
  </w:style>
  <w:style w:type="paragraph" w:customStyle="1" w:styleId="HeadingProcedure">
    <w:name w:val="Heading Procedure"/>
    <w:basedOn w:val="HeadingBase"/>
    <w:next w:val="Normal"/>
    <w:rsid w:val="00045EDB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styleId="ListContinue">
    <w:name w:val="List Continue"/>
    <w:basedOn w:val="List"/>
    <w:rsid w:val="00045EDB"/>
    <w:pPr>
      <w:ind w:firstLine="0"/>
    </w:pPr>
  </w:style>
  <w:style w:type="paragraph" w:customStyle="1" w:styleId="ListNote">
    <w:name w:val="List Note"/>
    <w:basedOn w:val="List"/>
    <w:rsid w:val="00045EDB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045EDB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045EDB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045EDB"/>
    <w:rPr>
      <w:rFonts w:ascii="Courier New" w:hAnsi="Courier New"/>
    </w:rPr>
  </w:style>
  <w:style w:type="paragraph" w:customStyle="1" w:styleId="NoteBullet">
    <w:name w:val="Note Bullet"/>
    <w:basedOn w:val="Note"/>
    <w:rsid w:val="00045EDB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045EDB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045EDB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045EDB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styleId="PlainText">
    <w:name w:val="Plain Text"/>
    <w:basedOn w:val="Normal"/>
    <w:link w:val="PlainTextChar"/>
    <w:rsid w:val="00045EDB"/>
    <w:rPr>
      <w:sz w:val="20"/>
    </w:rPr>
  </w:style>
  <w:style w:type="character" w:customStyle="1" w:styleId="PlainTextChar">
    <w:name w:val="Plain Text Char"/>
    <w:basedOn w:val="DefaultParagraphFont"/>
    <w:link w:val="PlainText"/>
    <w:rsid w:val="00045EDB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045EDB"/>
    <w:rPr>
      <w:b/>
      <w:smallCaps/>
    </w:rPr>
  </w:style>
  <w:style w:type="paragraph" w:customStyle="1" w:styleId="TableListNumber">
    <w:name w:val="Table List Number"/>
    <w:basedOn w:val="ListNumber"/>
    <w:rsid w:val="00045EDB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045EDB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045EDB"/>
    <w:pPr>
      <w:numPr>
        <w:numId w:val="8"/>
      </w:numPr>
    </w:pPr>
  </w:style>
  <w:style w:type="paragraph" w:customStyle="1" w:styleId="ListAlpha2">
    <w:name w:val="List Alpha 2"/>
    <w:basedOn w:val="List2"/>
    <w:rsid w:val="00045EDB"/>
    <w:pPr>
      <w:numPr>
        <w:numId w:val="7"/>
      </w:numPr>
    </w:pPr>
  </w:style>
  <w:style w:type="paragraph" w:styleId="List2">
    <w:name w:val="List 2"/>
    <w:basedOn w:val="BodyText"/>
    <w:rsid w:val="00045EDB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045EDB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045EDB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045EDB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045EDB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045EDB"/>
    <w:pPr>
      <w:numPr>
        <w:numId w:val="2"/>
      </w:numPr>
    </w:pPr>
  </w:style>
  <w:style w:type="paragraph" w:styleId="ListBullet5">
    <w:name w:val="List Bullet 5"/>
    <w:basedOn w:val="List5"/>
    <w:rsid w:val="00045EDB"/>
    <w:pPr>
      <w:numPr>
        <w:numId w:val="3"/>
      </w:numPr>
    </w:pPr>
  </w:style>
  <w:style w:type="paragraph" w:styleId="ListContinue2">
    <w:name w:val="List Continue 2"/>
    <w:basedOn w:val="List2"/>
    <w:rsid w:val="00045EDB"/>
    <w:pPr>
      <w:ind w:firstLine="0"/>
    </w:pPr>
  </w:style>
  <w:style w:type="paragraph" w:styleId="ListContinue3">
    <w:name w:val="List Continue 3"/>
    <w:basedOn w:val="List3"/>
    <w:rsid w:val="00045EDB"/>
    <w:pPr>
      <w:ind w:left="1021" w:firstLine="0"/>
    </w:pPr>
  </w:style>
  <w:style w:type="paragraph" w:styleId="ListContinue4">
    <w:name w:val="List Continue 4"/>
    <w:basedOn w:val="List4"/>
    <w:rsid w:val="00045EDB"/>
    <w:pPr>
      <w:ind w:firstLine="0"/>
    </w:pPr>
  </w:style>
  <w:style w:type="paragraph" w:styleId="ListContinue5">
    <w:name w:val="List Continue 5"/>
    <w:basedOn w:val="List5"/>
    <w:rsid w:val="00045EDB"/>
    <w:pPr>
      <w:ind w:firstLine="0"/>
    </w:pPr>
  </w:style>
  <w:style w:type="paragraph" w:styleId="ListNumber3">
    <w:name w:val="List Number 3"/>
    <w:basedOn w:val="List3"/>
    <w:rsid w:val="00045EDB"/>
    <w:pPr>
      <w:numPr>
        <w:numId w:val="4"/>
      </w:numPr>
    </w:pPr>
  </w:style>
  <w:style w:type="paragraph" w:styleId="ListNumber4">
    <w:name w:val="List Number 4"/>
    <w:basedOn w:val="List4"/>
    <w:rsid w:val="00045EDB"/>
    <w:pPr>
      <w:numPr>
        <w:numId w:val="5"/>
      </w:numPr>
    </w:pPr>
  </w:style>
  <w:style w:type="paragraph" w:styleId="ListNumber5">
    <w:name w:val="List Number 5"/>
    <w:basedOn w:val="List5"/>
    <w:rsid w:val="00045EDB"/>
    <w:pPr>
      <w:numPr>
        <w:numId w:val="6"/>
      </w:numPr>
    </w:pPr>
  </w:style>
  <w:style w:type="paragraph" w:styleId="BlockText">
    <w:name w:val="Block Text"/>
    <w:basedOn w:val="Normal"/>
    <w:rsid w:val="00045EDB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045EDB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045EDB"/>
    <w:rPr>
      <w:sz w:val="16"/>
      <w:vertAlign w:val="superscript"/>
    </w:rPr>
  </w:style>
  <w:style w:type="character" w:customStyle="1" w:styleId="Symbols">
    <w:name w:val="Symbols"/>
    <w:basedOn w:val="DefaultParagraphFont"/>
    <w:rsid w:val="00045EDB"/>
    <w:rPr>
      <w:rFonts w:ascii="Symbol" w:hAnsi="Symbol"/>
    </w:rPr>
  </w:style>
  <w:style w:type="character" w:customStyle="1" w:styleId="MenuOptions">
    <w:name w:val="Menu Options"/>
    <w:basedOn w:val="DefaultParagraphFont"/>
    <w:rsid w:val="00045EDB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045EDB"/>
    <w:rPr>
      <w:b/>
    </w:rPr>
  </w:style>
  <w:style w:type="character" w:customStyle="1" w:styleId="Underlined">
    <w:name w:val="Underlined"/>
    <w:basedOn w:val="DefaultParagraphFont"/>
    <w:rsid w:val="00045EDB"/>
    <w:rPr>
      <w:u w:val="single"/>
    </w:rPr>
  </w:style>
  <w:style w:type="paragraph" w:customStyle="1" w:styleId="TableBodyTextRight">
    <w:name w:val="Table Body Text Right"/>
    <w:basedOn w:val="TableBodyText"/>
    <w:rsid w:val="00045EDB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045EDB"/>
    <w:rPr>
      <w:sz w:val="18"/>
    </w:rPr>
  </w:style>
  <w:style w:type="paragraph" w:customStyle="1" w:styleId="BodySmallRight">
    <w:name w:val="Body Small Right"/>
    <w:basedOn w:val="BodyTextRight"/>
    <w:rsid w:val="00045EDB"/>
    <w:rPr>
      <w:sz w:val="18"/>
      <w:szCs w:val="18"/>
    </w:rPr>
  </w:style>
  <w:style w:type="paragraph" w:customStyle="1" w:styleId="MarginEdition">
    <w:name w:val="Margin Edition"/>
    <w:basedOn w:val="MarginNote"/>
    <w:rsid w:val="00045EDB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045EDB"/>
    <w:rPr>
      <w:sz w:val="2"/>
      <w:szCs w:val="2"/>
    </w:rPr>
  </w:style>
  <w:style w:type="character" w:customStyle="1" w:styleId="Small">
    <w:name w:val="Small"/>
    <w:basedOn w:val="DefaultParagraphFont"/>
    <w:rsid w:val="00045EDB"/>
    <w:rPr>
      <w:sz w:val="16"/>
    </w:rPr>
  </w:style>
  <w:style w:type="paragraph" w:customStyle="1" w:styleId="WideTable">
    <w:name w:val="Wide Table"/>
    <w:basedOn w:val="Normal"/>
    <w:rsid w:val="00045EDB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045EDB"/>
  </w:style>
  <w:style w:type="paragraph" w:styleId="Quote">
    <w:name w:val="Quote"/>
    <w:basedOn w:val="Heading1"/>
    <w:link w:val="QuoteChar"/>
    <w:qFormat/>
    <w:rsid w:val="00045EDB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045EDB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045EDB"/>
    <w:pPr>
      <w:pageBreakBefore/>
    </w:pPr>
  </w:style>
  <w:style w:type="paragraph" w:customStyle="1" w:styleId="Border">
    <w:name w:val="Border"/>
    <w:basedOn w:val="Normal"/>
    <w:qFormat/>
    <w:rsid w:val="00045EDB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045ED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E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EDB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045ED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045EDB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045EDB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045EDB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045EDB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045EDB"/>
    <w:rPr>
      <w:u w:val="single"/>
    </w:rPr>
  </w:style>
  <w:style w:type="character" w:customStyle="1" w:styleId="BoldandItalics">
    <w:name w:val="Bold and Italics"/>
    <w:qFormat/>
    <w:rsid w:val="00045EDB"/>
    <w:rPr>
      <w:b/>
      <w:i/>
      <w:u w:val="none"/>
    </w:rPr>
  </w:style>
  <w:style w:type="paragraph" w:styleId="BalloonText">
    <w:name w:val="Balloon Text"/>
    <w:basedOn w:val="Normal"/>
    <w:link w:val="BalloonTextChar"/>
    <w:rsid w:val="00045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EDB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45EDB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045EDB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045EDB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045EDB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836</Words>
  <Characters>5524</Characters>
  <Application>Microsoft Office Word</Application>
  <DocSecurity>0</DocSecurity>
  <Lines>171</Lines>
  <Paragraphs>112</Paragraphs>
  <ScaleCrop>false</ScaleCrop>
  <Company>Author-it Software Corporation Ltd.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PUA50212 Diploma of Public Safety (Policing)</dc:title>
  <dc:subject>Approved</dc:subject>
  <dc:creator>Government Skills Australia</dc:creator>
  <cp:keywords>Release: 1</cp:keywords>
  <dc:description>Copyright © 1996-2007 Author-it Software Corporation Ltd., all rights reserved.</dc:description>
  <cp:lastModifiedBy>TPCMS</cp:lastModifiedBy>
  <cp:revision>3</cp:revision>
  <dcterms:created xsi:type="dcterms:W3CDTF">2012-08-19T20:30:00Z</dcterms:created>
  <dcterms:modified xsi:type="dcterms:W3CDTF">2012-08-19T20:30:00Z</dcterms:modified>
</cp:coreProperties>
</file>