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387" w:rsidRDefault="006B7387" w:rsidP="006B7387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PUA31102 Certificate III in Public Safety (Driving in a Threat Environment)</w:t>
      </w:r>
      <w:r>
        <w:fldChar w:fldCharType="end"/>
      </w:r>
    </w:p>
    <w:p w:rsidR="006B7387" w:rsidRDefault="006B7387" w:rsidP="006B7387">
      <w:pPr>
        <w:pStyle w:val="Version"/>
        <w:sectPr w:rsidR="006B7387" w:rsidSect="00D358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D35823" w:rsidRDefault="006B7387" w:rsidP="00D35823">
      <w:pPr>
        <w:pStyle w:val="SuperHeading"/>
      </w:pPr>
      <w:r w:rsidRPr="00D35823">
        <w:lastRenderedPageBreak/>
        <w:t>PUA31102 Certificate III in Public Safety (Driving in a Threat Environment)</w:t>
      </w:r>
    </w:p>
    <w:p w:rsidR="00000000" w:rsidRPr="00D35823" w:rsidRDefault="006B7387" w:rsidP="00D35823">
      <w:pPr>
        <w:pStyle w:val="Heading1"/>
      </w:pPr>
      <w:bookmarkStart w:id="1" w:name="O_52907"/>
      <w:bookmarkEnd w:id="1"/>
      <w:r w:rsidRPr="00D35823">
        <w:t>Modification History</w:t>
      </w:r>
    </w:p>
    <w:p w:rsidR="00000000" w:rsidRPr="00D35823" w:rsidRDefault="006B7387" w:rsidP="00D35823">
      <w:pPr>
        <w:pStyle w:val="BodyText"/>
      </w:pPr>
      <w:r w:rsidRPr="00D35823">
        <w:t>Not applicable.</w:t>
      </w:r>
    </w:p>
    <w:p w:rsidR="00000000" w:rsidRPr="00D35823" w:rsidRDefault="006B7387" w:rsidP="00D35823">
      <w:pPr>
        <w:pStyle w:val="AllowPageBreak"/>
      </w:pPr>
    </w:p>
    <w:p w:rsidR="00000000" w:rsidRPr="00D35823" w:rsidRDefault="006B7387" w:rsidP="00D35823">
      <w:pPr>
        <w:pStyle w:val="Heading1"/>
      </w:pPr>
      <w:bookmarkStart w:id="2" w:name="O_52908"/>
      <w:bookmarkEnd w:id="2"/>
      <w:r w:rsidRPr="00D35823">
        <w:t>Description</w:t>
      </w:r>
    </w:p>
    <w:p w:rsidR="00000000" w:rsidRPr="00D35823" w:rsidRDefault="006B7387" w:rsidP="00D35823">
      <w:pPr>
        <w:pStyle w:val="BodyText"/>
      </w:pPr>
      <w:r w:rsidRPr="00D35823">
        <w:t>Not applicab</w:t>
      </w:r>
      <w:r w:rsidRPr="00D35823">
        <w:t>le.</w:t>
      </w:r>
    </w:p>
    <w:p w:rsidR="00000000" w:rsidRPr="00D35823" w:rsidRDefault="006B7387" w:rsidP="00D35823">
      <w:pPr>
        <w:pStyle w:val="AllowPageBreak"/>
      </w:pPr>
    </w:p>
    <w:p w:rsidR="00000000" w:rsidRPr="00D35823" w:rsidRDefault="006B7387" w:rsidP="00D35823">
      <w:pPr>
        <w:pStyle w:val="Heading1"/>
      </w:pPr>
      <w:bookmarkStart w:id="3" w:name="O_52909"/>
      <w:bookmarkEnd w:id="3"/>
      <w:r w:rsidRPr="00D35823">
        <w:t>Pathways Information</w:t>
      </w:r>
    </w:p>
    <w:p w:rsidR="00000000" w:rsidRPr="00D35823" w:rsidRDefault="006B7387" w:rsidP="00D35823">
      <w:pPr>
        <w:pStyle w:val="BodyText"/>
      </w:pPr>
      <w:r w:rsidRPr="00D35823">
        <w:t>Not applicable.</w:t>
      </w:r>
    </w:p>
    <w:p w:rsidR="00000000" w:rsidRPr="00D35823" w:rsidRDefault="006B7387" w:rsidP="00D35823">
      <w:pPr>
        <w:pStyle w:val="AllowPageBreak"/>
      </w:pPr>
    </w:p>
    <w:p w:rsidR="00000000" w:rsidRPr="00D35823" w:rsidRDefault="006B7387" w:rsidP="00D35823">
      <w:pPr>
        <w:pStyle w:val="Heading1"/>
      </w:pPr>
      <w:bookmarkStart w:id="4" w:name="O_52910"/>
      <w:bookmarkEnd w:id="4"/>
      <w:r w:rsidRPr="00D35823">
        <w:t>Licensing/Regulatory Information</w:t>
      </w:r>
    </w:p>
    <w:p w:rsidR="00000000" w:rsidRPr="00D35823" w:rsidRDefault="006B7387" w:rsidP="00D35823">
      <w:pPr>
        <w:pStyle w:val="BodyText"/>
      </w:pPr>
      <w:r w:rsidRPr="00D35823">
        <w:t>Not applicable.</w:t>
      </w:r>
    </w:p>
    <w:p w:rsidR="00000000" w:rsidRPr="00D35823" w:rsidRDefault="006B7387" w:rsidP="00D35823">
      <w:pPr>
        <w:pStyle w:val="AllowPageBreak"/>
      </w:pPr>
    </w:p>
    <w:p w:rsidR="00000000" w:rsidRPr="00D35823" w:rsidRDefault="006B7387" w:rsidP="00D35823">
      <w:pPr>
        <w:pStyle w:val="Heading1"/>
      </w:pPr>
      <w:bookmarkStart w:id="5" w:name="O_52911"/>
      <w:bookmarkEnd w:id="5"/>
      <w:r w:rsidRPr="00D35823">
        <w:t>Entry Requirements</w:t>
      </w:r>
    </w:p>
    <w:p w:rsidR="00000000" w:rsidRPr="00D35823" w:rsidRDefault="006B7387" w:rsidP="00D35823">
      <w:pPr>
        <w:pStyle w:val="BodyText"/>
      </w:pPr>
      <w:r w:rsidRPr="00D35823">
        <w:t>Not applicable.</w:t>
      </w:r>
    </w:p>
    <w:p w:rsidR="00000000" w:rsidRPr="00D35823" w:rsidRDefault="006B7387" w:rsidP="00D35823">
      <w:pPr>
        <w:pStyle w:val="AllowPageBreak"/>
      </w:pPr>
    </w:p>
    <w:p w:rsidR="00000000" w:rsidRPr="00D35823" w:rsidRDefault="006B7387" w:rsidP="00D35823">
      <w:pPr>
        <w:pStyle w:val="Heading1"/>
      </w:pPr>
      <w:bookmarkStart w:id="6" w:name="O_52912"/>
      <w:bookmarkEnd w:id="6"/>
      <w:r w:rsidRPr="00D35823">
        <w:lastRenderedPageBreak/>
        <w:t>Employability Skills Summary</w:t>
      </w:r>
    </w:p>
    <w:p w:rsidR="00000000" w:rsidRPr="00D35823" w:rsidRDefault="006B7387" w:rsidP="00D35823">
      <w:pPr>
        <w:pStyle w:val="BodyText"/>
      </w:pPr>
      <w:r w:rsidRPr="00D35823">
        <w:rPr>
          <w:rStyle w:val="SpecialBold"/>
        </w:rPr>
        <w:t>Employability Ski</w:t>
      </w:r>
      <w:r w:rsidRPr="00D35823">
        <w:rPr>
          <w:rStyle w:val="SpecialBold"/>
        </w:rPr>
        <w:t>lls Summary for PUA31102 Certificate III in Public Safety</w:t>
      </w:r>
      <w:r w:rsidRPr="00D35823">
        <w:t xml:space="preserve"> (</w:t>
      </w:r>
      <w:r w:rsidRPr="00D35823">
        <w:rPr>
          <w:rStyle w:val="SpecialBold"/>
        </w:rPr>
        <w:t>Driving in a Threat Environment</w:t>
      </w:r>
      <w:r w:rsidRPr="00D35823">
        <w:t>)</w:t>
      </w:r>
    </w:p>
    <w:p w:rsidR="00000000" w:rsidRPr="00D35823" w:rsidRDefault="006B7387" w:rsidP="00D35823">
      <w:pPr>
        <w:pStyle w:val="BodyText"/>
      </w:pPr>
      <w:r w:rsidRPr="00D35823">
        <w:t xml:space="preserve">Employability Skills are part of a unit of competency. </w:t>
      </w:r>
    </w:p>
    <w:p w:rsidR="00000000" w:rsidRPr="00D35823" w:rsidRDefault="006B7387" w:rsidP="00D35823">
      <w:pPr>
        <w:pStyle w:val="BodyText"/>
      </w:pPr>
      <w:r w:rsidRPr="00D35823">
        <w:t>Employability Skills statements from a selection of units of competency from the PUA31102 Certificate III in</w:t>
      </w:r>
      <w:r w:rsidRPr="00D35823">
        <w:t xml:space="preserve"> Public Safety (Driving in a Threat Environment) have been reproduced in the table below.</w:t>
      </w:r>
    </w:p>
    <w:p w:rsidR="00000000" w:rsidRPr="00D35823" w:rsidRDefault="006B7387" w:rsidP="00D35823">
      <w:pPr>
        <w:pStyle w:val="BodyText"/>
      </w:pPr>
      <w:r w:rsidRPr="00D35823">
        <w:t>This table provides an example of Employability Skills for the qualification because Employability Skills within a qualification will vary depending on the qualificat</w:t>
      </w:r>
      <w:r w:rsidRPr="00D35823">
        <w:t>ion packaging options.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6713"/>
      </w:tblGrid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BodyText"/>
            </w:pPr>
            <w:r w:rsidRPr="00D35823">
              <w:t>Public Safety qualifications have core units (which must be achieved) and elective units (where there is a choice of units which must be achieved) so different Employability Skills Summaries are possible within the one qualification,</w:t>
            </w:r>
            <w:r w:rsidRPr="00D35823">
              <w:t xml:space="preserve"> depending on the package of core units and chosen elective units.</w:t>
            </w:r>
          </w:p>
          <w:p w:rsidR="00000000" w:rsidRPr="00D35823" w:rsidRDefault="006B7387" w:rsidP="00D35823">
            <w:pPr>
              <w:pStyle w:val="BodyText"/>
            </w:pPr>
            <w:r w:rsidRPr="00D35823">
              <w:rPr>
                <w:rStyle w:val="SpecialBold"/>
              </w:rPr>
              <w:t>Employability Skill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Employability Skills Statement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Communication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>direct a vehicle at night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follow instructions/directives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give feedback/assistance to other team members in an appropriate m</w:t>
            </w:r>
            <w:r w:rsidRPr="00D35823">
              <w:t xml:space="preserve">anner 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read and implement written or verbal orders and procedures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read maps and use navigational aids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 xml:space="preserve">rectify and/or report any vehicle faults 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report information verbally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respond to directions from a co-driver and a guide, both with and without the assistance of external aids</w:t>
            </w:r>
          </w:p>
          <w:p w:rsidR="00000000" w:rsidRDefault="006B7387" w:rsidP="00D35823">
            <w:pPr>
              <w:pStyle w:val="ListBullet"/>
              <w:rPr>
                <w:lang w:val="en-NZ"/>
              </w:rPr>
            </w:pPr>
            <w:r w:rsidRPr="00D35823">
              <w:t>use verbal and non-verbal communication techniques including hand signals, language style, active listening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Teamwork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 xml:space="preserve">apply knowledge of composition of teams and roles and </w:t>
            </w:r>
            <w:r w:rsidRPr="00D35823">
              <w:lastRenderedPageBreak/>
              <w:t>responsibilities of team members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apply team work principles and strategies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conduct assessment as a team activity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contribute to team activities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encourage other team members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participate in a team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recognis</w:t>
            </w:r>
            <w:r w:rsidRPr="00D35823">
              <w:t>e individual differences in the workplace, to value these differences and to adjust behaviour to account for these differences</w:t>
            </w:r>
          </w:p>
          <w:p w:rsidR="00000000" w:rsidRDefault="006B7387" w:rsidP="00D35823">
            <w:pPr>
              <w:pStyle w:val="ListBullet"/>
              <w:rPr>
                <w:lang w:val="en-NZ"/>
              </w:rPr>
            </w:pPr>
            <w:r w:rsidRPr="00D35823">
              <w:t>use techniques for supporting others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lastRenderedPageBreak/>
              <w:t>Problem solving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>analyse difficult terrain to determine whether it is trafficable, and if so</w:t>
            </w:r>
            <w:r w:rsidRPr="00D35823">
              <w:t>, what are the implications for vehicle preparation, safety of passengers and load planning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apply contingency actions that minimise risk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apply vehicle contingency actions when required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 xml:space="preserve">apply tactical deployment drills 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confirm the ability to reduce vulnera</w:t>
            </w:r>
            <w:r w:rsidRPr="00D35823">
              <w:t>bility through preparation of the vehicle, the use of camouflage and concealment, and the application of contingency actions that minimise risk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deal with contingencies related to an emergency that may occur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 xml:space="preserve">navigate vehicle at night using navigational equipment </w:t>
            </w:r>
          </w:p>
          <w:p w:rsidR="00000000" w:rsidRDefault="006B7387" w:rsidP="00D35823">
            <w:pPr>
              <w:pStyle w:val="ListBullet"/>
              <w:rPr>
                <w:lang w:val="en-NZ"/>
              </w:rPr>
            </w:pPr>
            <w:r w:rsidRPr="00D35823">
              <w:t>report any faults with night fighting equipment to appropriate personnel, rectify and/or return equipment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Initiative and enterprise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>prepare vehicle, which may include reporting deficiencies to the su</w:t>
            </w:r>
            <w:r w:rsidRPr="00D35823">
              <w:t>pervisor and taking remedial action</w:t>
            </w:r>
          </w:p>
          <w:p w:rsidR="00000000" w:rsidRDefault="006B7387" w:rsidP="00D35823">
            <w:pPr>
              <w:pStyle w:val="ListBullet"/>
              <w:rPr>
                <w:lang w:val="en-NZ"/>
              </w:rPr>
            </w:pPr>
            <w:r w:rsidRPr="00D35823">
              <w:t>understand work environment including all operational road transport situations, including a variety of road, terrain, weather and vegetation conditions and a range of threatening situations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Planning and organising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>camo</w:t>
            </w:r>
            <w:r w:rsidRPr="00D35823">
              <w:t>uflage vehicle from observation, surveillance and detection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carry out contingency actions to prevent or minimise damage to the person, the vehicle and the load, both when travelling alone and in convoy with other vehicles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configure a vehicle for night driv</w:t>
            </w:r>
            <w:r w:rsidRPr="00D35823">
              <w:t>ing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plan tasks and discuss with a supervisor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prepare a vehicle for driving at night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 xml:space="preserve">prepare a vehicle for driving at night using night fighting equipment 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prepare for reconnaissance of the terrain to be traversed by map and/or visual observation, identifyi</w:t>
            </w:r>
            <w:r w:rsidRPr="00D35823">
              <w:t>ng potential hazards</w:t>
            </w:r>
          </w:p>
          <w:p w:rsidR="00000000" w:rsidRDefault="006B7387" w:rsidP="00D35823">
            <w:pPr>
              <w:pStyle w:val="ListBullet"/>
              <w:rPr>
                <w:lang w:val="en-NZ"/>
              </w:rPr>
            </w:pPr>
            <w:r w:rsidRPr="00D35823">
              <w:t>prepare vehicle for tactical employment and operational driving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Self-management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 xml:space="preserve">encourage other team members </w:t>
            </w:r>
          </w:p>
          <w:p w:rsidR="00000000" w:rsidRDefault="006B7387" w:rsidP="00D35823">
            <w:pPr>
              <w:pStyle w:val="ListBullet"/>
              <w:rPr>
                <w:lang w:val="en-NZ"/>
              </w:rPr>
            </w:pPr>
            <w:r w:rsidRPr="00D35823">
              <w:t>ensure personal behaviour shows sensitivity to the differences between colleagues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Learning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>learn about Defence Road Transport Instructions, Driver's Handbook, Vehicle user's handbook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learn about occupational health and safety requirements for driving a vehicle at night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learn about standing orders, routine orders, procedures manuals, doctrine pam</w:t>
            </w:r>
            <w:r w:rsidRPr="00D35823">
              <w:t xml:space="preserve">phlets, job guides and other publications 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learn about tactical deployment procedures including convoy driving procedures, actions at a halt and occupation of a hide or administrative position</w:t>
            </w:r>
          </w:p>
          <w:p w:rsidR="00000000" w:rsidRDefault="006B7387" w:rsidP="00D35823">
            <w:pPr>
              <w:pStyle w:val="ListBullet"/>
              <w:rPr>
                <w:lang w:val="en-NZ"/>
              </w:rPr>
            </w:pPr>
            <w:r w:rsidRPr="00D35823">
              <w:t>learn about the application of counter-surveillance doctrine an</w:t>
            </w:r>
            <w:r w:rsidRPr="00D35823">
              <w:t>d procedures and the employment of operational driving techniques</w:t>
            </w:r>
          </w:p>
        </w:tc>
      </w:tr>
      <w:tr w:rsidR="00000000" w:rsidRPr="00D35823" w:rsidTr="006B738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Technology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ListBullet"/>
            </w:pPr>
            <w:r w:rsidRPr="00D35823">
              <w:t>conduct serviceability check of the vehicle using night fighting equipment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fit specialist 'blackout' lighting equipment to vehicles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obtain specialist equipment appropriate to the</w:t>
            </w:r>
            <w:r w:rsidRPr="00D35823">
              <w:t xml:space="preserve"> task and checked for serviceability</w:t>
            </w:r>
          </w:p>
          <w:p w:rsidR="00000000" w:rsidRPr="00D35823" w:rsidRDefault="006B7387" w:rsidP="00D35823">
            <w:pPr>
              <w:pStyle w:val="ListBullet"/>
            </w:pPr>
            <w:r w:rsidRPr="00D35823">
              <w:t>use technology</w:t>
            </w:r>
          </w:p>
        </w:tc>
      </w:tr>
    </w:tbl>
    <w:p w:rsidR="00000000" w:rsidRPr="00D35823" w:rsidRDefault="006B7387" w:rsidP="00D35823">
      <w:pPr>
        <w:pStyle w:val="BodyText"/>
      </w:pPr>
    </w:p>
    <w:p w:rsidR="00000000" w:rsidRPr="00D35823" w:rsidRDefault="006B7387" w:rsidP="00D35823">
      <w:pPr>
        <w:pStyle w:val="AllowPageBreak"/>
      </w:pPr>
    </w:p>
    <w:p w:rsidR="00000000" w:rsidRPr="00D35823" w:rsidRDefault="006B7387" w:rsidP="00D35823">
      <w:pPr>
        <w:pStyle w:val="Heading1"/>
      </w:pPr>
      <w:bookmarkStart w:id="7" w:name="O_52913"/>
      <w:bookmarkEnd w:id="7"/>
      <w:r w:rsidRPr="00D35823">
        <w:t>Packaging Rules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6376"/>
        <w:gridCol w:w="133"/>
      </w:tblGrid>
      <w:tr w:rsidR="00D35823" w:rsidTr="006B7387">
        <w:trPr>
          <w:tblHeader/>
        </w:trPr>
        <w:tc>
          <w:tcPr>
            <w:tcW w:w="20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BodyText"/>
            </w:pPr>
            <w:r w:rsidRPr="00D35823">
              <w:rPr>
                <w:rStyle w:val="SpecialBold"/>
              </w:rPr>
              <w:t>Code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Core Units</w:t>
            </w:r>
          </w:p>
        </w:tc>
      </w:tr>
      <w:tr w:rsidR="00D35823" w:rsidTr="006B7387">
        <w:tc>
          <w:tcPr>
            <w:tcW w:w="20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PUADEFEQ001C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Work with equity and diversity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PUADEFTP001B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Operate a vehicle in an environment of threat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PUADEFTP002B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Operate a vehicle at night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PUADEFTP003B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Operate a vehicle over difficult terrain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PUADEFTP004B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Operate a vehicle using night fighting equipment (NFE)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BSBCMN311A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Maintain workplace safety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TDTF1097B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Apply fatigue management strategies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TDTF1397B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Coordinate breakdowns and emergen</w:t>
            </w:r>
            <w:r w:rsidRPr="00D35823">
              <w:t>cies</w:t>
            </w:r>
          </w:p>
        </w:tc>
      </w:tr>
      <w:tr w:rsidR="00D35823" w:rsidRPr="00D35823" w:rsidTr="006B7387"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TDTH297C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Plan and navigate routes</w:t>
            </w:r>
          </w:p>
        </w:tc>
      </w:tr>
      <w:tr w:rsidR="00D35823" w:rsidTr="006B7387">
        <w:tc>
          <w:tcPr>
            <w:tcW w:w="20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BodyText"/>
            </w:pPr>
            <w:r w:rsidRPr="00D35823">
              <w:rPr>
                <w:rStyle w:val="SpecialBold"/>
              </w:rPr>
              <w:t>Code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rPr>
                <w:rStyle w:val="SpecialBold"/>
              </w:rPr>
              <w:t>Elective Units</w:t>
            </w:r>
          </w:p>
        </w:tc>
      </w:tr>
      <w:tr w:rsidR="00D35823" w:rsidTr="006B7387">
        <w:tc>
          <w:tcPr>
            <w:tcW w:w="20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BSBSUS201A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Participate in environmentally sustainable work practices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PUACOM001C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Communicate in the workplace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PUACOM002B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Provide services to clients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PUADEFCA005B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Operate communications equipment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PUADEFTP005B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Operate a multi-axle trailer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PUADEFEO201C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Respond to fire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PUADEFRI001B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Treat risk within Defence at an operational level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PUADEFRI002B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Conduct risk assessment in a Defence environment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PUAEME001B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Provide emergency care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PUATEA001B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Work in a team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TDTB797B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Carry out maintenance on trailers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TDTB897B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Carry out inspection on trailers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TDTB2901A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Use and maintain minor mechanical equipment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TDTC197B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Drive vehicle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TDTC297B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Drive light rigid vehicle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TDTC397B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Drive medium rigid vehicle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TDTC497C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Drive heavy rigid vehicle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TDTD197B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Shift materials safely using manual handling methods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TDTD497B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Load and unload goods/cargo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TDTD1697B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Load and unload explosive and dangerous goods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TDTE897B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Process workplace documentation</w:t>
            </w:r>
          </w:p>
        </w:tc>
      </w:tr>
      <w:tr w:rsidR="00D35823" w:rsidTr="006B7387"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TDTF1297B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6B7387" w:rsidP="00D35823">
            <w:pPr>
              <w:pStyle w:val="BodyText"/>
              <w:rPr>
                <w:lang w:val="en-NZ"/>
              </w:rPr>
            </w:pPr>
            <w:r w:rsidRPr="00D35823">
              <w:t>Apply safe procedures when handling/transporting dangerous goods or explosives</w:t>
            </w:r>
          </w:p>
        </w:tc>
      </w:tr>
      <w:tr w:rsidR="00D35823" w:rsidRPr="00D35823" w:rsidTr="006B7387">
        <w:trPr>
          <w:gridAfter w:val="1"/>
          <w:wAfter w:w="133" w:type="dxa"/>
        </w:trPr>
        <w:tc>
          <w:tcPr>
            <w:tcW w:w="8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D35823" w:rsidRDefault="006B7387" w:rsidP="00D35823">
            <w:pPr>
              <w:pStyle w:val="BodyText"/>
            </w:pPr>
          </w:p>
          <w:p w:rsidR="00000000" w:rsidRPr="00D35823" w:rsidRDefault="006B7387" w:rsidP="00D35823">
            <w:pPr>
              <w:pStyle w:val="BodyText"/>
            </w:pPr>
            <w:r w:rsidRPr="00D35823">
              <w:rPr>
                <w:rStyle w:val="SpecialBold"/>
              </w:rPr>
              <w:t>NOTES</w:t>
            </w:r>
          </w:p>
          <w:p w:rsidR="00000000" w:rsidRPr="00D35823" w:rsidRDefault="006B7387" w:rsidP="00D35823">
            <w:pPr>
              <w:pStyle w:val="BodyText"/>
            </w:pPr>
            <w:r w:rsidRPr="00D35823">
              <w:t>BSB units have been imported from the BSB01 Business Services Training Package.</w:t>
            </w:r>
          </w:p>
          <w:p w:rsidR="00000000" w:rsidRPr="00D35823" w:rsidRDefault="006B7387" w:rsidP="00D35823">
            <w:pPr>
              <w:pStyle w:val="BodyText"/>
            </w:pPr>
            <w:r w:rsidRPr="00D35823">
              <w:t>TDT units have been imported from the TDT02 Transport and Distribution Training Package.</w:t>
            </w:r>
          </w:p>
          <w:p w:rsidR="00000000" w:rsidRPr="00D35823" w:rsidRDefault="006B7387" w:rsidP="00D35823">
            <w:pPr>
              <w:pStyle w:val="BodyText"/>
            </w:pPr>
          </w:p>
          <w:p w:rsidR="00000000" w:rsidRPr="00D35823" w:rsidRDefault="006B7387" w:rsidP="00D35823">
            <w:pPr>
              <w:pStyle w:val="BodyText"/>
            </w:pPr>
            <w:r w:rsidRPr="00D35823">
              <w:t>Information about customising PUA00 Public Safety Training Package qualifications is o</w:t>
            </w:r>
            <w:r w:rsidRPr="00D35823">
              <w:t xml:space="preserve">n page </w:t>
            </w:r>
            <w:r w:rsidRPr="00D35823">
              <w:rPr>
                <w:rStyle w:val="Underline"/>
              </w:rPr>
              <w:t>12</w:t>
            </w:r>
            <w:r w:rsidRPr="00D35823">
              <w:t>.</w:t>
            </w:r>
          </w:p>
        </w:tc>
      </w:tr>
    </w:tbl>
    <w:p w:rsidR="00000000" w:rsidRPr="00D35823" w:rsidRDefault="006B7387" w:rsidP="00D35823">
      <w:pPr>
        <w:pStyle w:val="BodyText"/>
      </w:pPr>
    </w:p>
    <w:p w:rsidR="00000000" w:rsidRPr="00D35823" w:rsidRDefault="006B7387" w:rsidP="00D35823"/>
    <w:sectPr w:rsidR="00000000" w:rsidRPr="00D35823" w:rsidSect="00D35823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387">
      <w:r>
        <w:separator/>
      </w:r>
    </w:p>
  </w:endnote>
  <w:endnote w:type="continuationSeparator" w:id="0">
    <w:p w:rsidR="00000000" w:rsidRDefault="006B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3" w:rsidRDefault="00D35823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B7387" w:rsidRDefault="006B7387" w:rsidP="006B7387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3" w:rsidRDefault="00D35823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87" w:rsidRDefault="006B7387" w:rsidP="00D35823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6B7387" w:rsidRDefault="006B7387" w:rsidP="00D35823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Government Skills Australia</w:t>
      </w:r>
    </w:fldSimple>
  </w:p>
  <w:p w:rsidR="006B7387" w:rsidRDefault="006B7387" w:rsidP="00D35823">
    <w:pPr>
      <w:pStyle w:val="Footer"/>
      <w:framePr w:wrap="around" w:hAnchor="text" w:x="285"/>
      <w:pBdr>
        <w:top w:val="none" w:sz="0" w:space="0" w:color="auto"/>
      </w:pBd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7387">
      <w:r>
        <w:separator/>
      </w:r>
    </w:p>
  </w:footnote>
  <w:footnote w:type="continuationSeparator" w:id="0">
    <w:p w:rsidR="00000000" w:rsidRDefault="006B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3" w:rsidRDefault="00D35823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3" w:rsidRPr="006B7387" w:rsidRDefault="006B7387" w:rsidP="006B7387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8EEFB9" wp14:editId="358F8E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032" cy="10953482"/>
          <wp:effectExtent l="19050" t="0" r="268" b="0"/>
          <wp:wrapNone/>
          <wp:docPr id="2" name="Picture 0" descr="titl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032" cy="1095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3" w:rsidRDefault="00D35823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87" w:rsidRPr="002D2AF8" w:rsidRDefault="006B7387" w:rsidP="00D35823">
    <w:pPr>
      <w:pStyle w:val="Header"/>
      <w:framePr w:wrap="around"/>
    </w:pPr>
    <w:fldSimple w:instr=" TITLE   \* MERGEFORMAT ">
      <w:r>
        <w:t>PUA31102 Certificate III in Public Safety (Driving in a Threat Environment)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24 September 2012</w:t>
    </w:r>
    <w:r>
      <w:fldChar w:fldCharType="end"/>
    </w:r>
  </w:p>
  <w:p w:rsidR="006B7387" w:rsidRDefault="006B7387" w:rsidP="00D35823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262CB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2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5823"/>
    <w:rsid w:val="006B7387"/>
    <w:rsid w:val="00D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23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D35823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D35823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D35823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D35823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D35823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D35823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D35823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D35823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3582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D358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5823"/>
  </w:style>
  <w:style w:type="character" w:customStyle="1" w:styleId="Heading1Char">
    <w:name w:val="Heading 1 Char"/>
    <w:basedOn w:val="DefaultParagraphFont"/>
    <w:link w:val="Heading1"/>
    <w:rsid w:val="00D35823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D35823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D35823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rsid w:val="00D35823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D35823"/>
    <w:rPr>
      <w:rFonts w:ascii="Times New Roman" w:eastAsia="Times New Roman" w:hAnsi="Times New Roman" w:cs="Times New Roman"/>
      <w:sz w:val="16"/>
      <w:lang w:eastAsia="en-US"/>
    </w:rPr>
  </w:style>
  <w:style w:type="paragraph" w:styleId="ListBullet">
    <w:name w:val="List Bullet"/>
    <w:basedOn w:val="List"/>
    <w:rsid w:val="00D35823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D35823"/>
    <w:rPr>
      <w:b/>
      <w:spacing w:val="0"/>
    </w:rPr>
  </w:style>
  <w:style w:type="paragraph" w:customStyle="1" w:styleId="SuperHeading">
    <w:name w:val="SuperHeading"/>
    <w:basedOn w:val="Normal"/>
    <w:rsid w:val="00D35823"/>
    <w:pPr>
      <w:spacing w:before="240" w:after="120"/>
      <w:outlineLvl w:val="0"/>
    </w:pPr>
    <w:rPr>
      <w:rFonts w:ascii="Times New Roman" w:hAnsi="Times New Roman"/>
      <w:b/>
      <w:sz w:val="28"/>
    </w:rPr>
  </w:style>
  <w:style w:type="paragraph" w:customStyle="1" w:styleId="AllowPageBreak">
    <w:name w:val="AllowPageBreak"/>
    <w:rsid w:val="00D3582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Underline">
    <w:name w:val="Underline"/>
    <w:basedOn w:val="DefaultParagraphFont"/>
    <w:qFormat/>
    <w:rsid w:val="00D35823"/>
    <w:rPr>
      <w:u w:val="single"/>
    </w:rPr>
  </w:style>
  <w:style w:type="character" w:customStyle="1" w:styleId="Heading2Char">
    <w:name w:val="Heading 2 Char"/>
    <w:basedOn w:val="DefaultParagraphFont"/>
    <w:link w:val="Heading2"/>
    <w:rsid w:val="00D35823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D35823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D35823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D35823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D35823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35823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35823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35823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D35823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D35823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D35823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D35823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D35823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Title">
    <w:name w:val="Title"/>
    <w:basedOn w:val="HeadingBase"/>
    <w:link w:val="TitleChar"/>
    <w:qFormat/>
    <w:rsid w:val="00D35823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35823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D35823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D35823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D35823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D35823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D35823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D35823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D35823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D35823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D35823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D35823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D35823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D35823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D35823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D35823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D35823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D35823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D35823"/>
    <w:rPr>
      <w:i/>
    </w:rPr>
  </w:style>
  <w:style w:type="paragraph" w:styleId="Caption">
    <w:name w:val="caption"/>
    <w:basedOn w:val="BodyText"/>
    <w:next w:val="Normal"/>
    <w:qFormat/>
    <w:rsid w:val="00D35823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D35823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D35823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D35823"/>
  </w:style>
  <w:style w:type="paragraph" w:styleId="TableofFigures">
    <w:name w:val="table of figures"/>
    <w:basedOn w:val="Normal"/>
    <w:next w:val="Normal"/>
    <w:semiHidden/>
    <w:rsid w:val="00D35823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D35823"/>
    <w:pPr>
      <w:numPr>
        <w:numId w:val="10"/>
      </w:numPr>
    </w:pPr>
  </w:style>
  <w:style w:type="character" w:customStyle="1" w:styleId="WingdingSymbols">
    <w:name w:val="Wingding Symbols"/>
    <w:rsid w:val="00D35823"/>
    <w:rPr>
      <w:rFonts w:ascii="Wingdings" w:hAnsi="Wingdings"/>
    </w:rPr>
  </w:style>
  <w:style w:type="paragraph" w:customStyle="1" w:styleId="TableHeading">
    <w:name w:val="Table Heading"/>
    <w:basedOn w:val="HeadingBase"/>
    <w:rsid w:val="00D35823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D35823"/>
    <w:rPr>
      <w:color w:val="0033CC"/>
      <w:u w:val="none"/>
    </w:rPr>
  </w:style>
  <w:style w:type="paragraph" w:customStyle="1" w:styleId="BodyTextRight">
    <w:name w:val="Body Text Right"/>
    <w:basedOn w:val="BodyText"/>
    <w:rsid w:val="00D35823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D35823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D35823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D35823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D35823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D35823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D35823"/>
    <w:rPr>
      <w:sz w:val="32"/>
    </w:rPr>
  </w:style>
  <w:style w:type="paragraph" w:customStyle="1" w:styleId="HeadingProcedure">
    <w:name w:val="Heading Procedure"/>
    <w:basedOn w:val="HeadingBase"/>
    <w:next w:val="Normal"/>
    <w:rsid w:val="00D35823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D35823"/>
    <w:pPr>
      <w:spacing w:before="60" w:after="60"/>
    </w:pPr>
  </w:style>
  <w:style w:type="paragraph" w:styleId="ListContinue">
    <w:name w:val="List Continue"/>
    <w:basedOn w:val="List"/>
    <w:rsid w:val="00D35823"/>
    <w:pPr>
      <w:ind w:firstLine="0"/>
    </w:pPr>
  </w:style>
  <w:style w:type="paragraph" w:customStyle="1" w:styleId="ListNote">
    <w:name w:val="List Note"/>
    <w:basedOn w:val="List"/>
    <w:rsid w:val="00D35823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D35823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D35823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D35823"/>
    <w:rPr>
      <w:rFonts w:ascii="Courier New" w:hAnsi="Courier New"/>
    </w:rPr>
  </w:style>
  <w:style w:type="paragraph" w:customStyle="1" w:styleId="NoteBullet">
    <w:name w:val="Note Bullet"/>
    <w:basedOn w:val="Note"/>
    <w:rsid w:val="00D35823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D35823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D35823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D35823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D35823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D35823"/>
    <w:rPr>
      <w:sz w:val="20"/>
    </w:rPr>
  </w:style>
  <w:style w:type="character" w:customStyle="1" w:styleId="PlainTextChar">
    <w:name w:val="Plain Text Char"/>
    <w:basedOn w:val="DefaultParagraphFont"/>
    <w:link w:val="PlainText"/>
    <w:rsid w:val="00D35823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D35823"/>
    <w:rPr>
      <w:b/>
      <w:smallCaps/>
    </w:rPr>
  </w:style>
  <w:style w:type="paragraph" w:customStyle="1" w:styleId="TableListNumber">
    <w:name w:val="Table List Number"/>
    <w:basedOn w:val="ListNumber"/>
    <w:rsid w:val="00D35823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D35823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D35823"/>
    <w:pPr>
      <w:numPr>
        <w:numId w:val="8"/>
      </w:numPr>
    </w:pPr>
  </w:style>
  <w:style w:type="paragraph" w:customStyle="1" w:styleId="ListAlpha2">
    <w:name w:val="List Alpha 2"/>
    <w:basedOn w:val="List2"/>
    <w:rsid w:val="00D35823"/>
    <w:pPr>
      <w:numPr>
        <w:numId w:val="7"/>
      </w:numPr>
    </w:pPr>
  </w:style>
  <w:style w:type="paragraph" w:styleId="List2">
    <w:name w:val="List 2"/>
    <w:basedOn w:val="BodyText"/>
    <w:rsid w:val="00D35823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D35823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D35823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D35823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D35823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D35823"/>
    <w:pPr>
      <w:numPr>
        <w:numId w:val="2"/>
      </w:numPr>
    </w:pPr>
  </w:style>
  <w:style w:type="paragraph" w:styleId="ListBullet5">
    <w:name w:val="List Bullet 5"/>
    <w:basedOn w:val="List5"/>
    <w:rsid w:val="00D35823"/>
    <w:pPr>
      <w:numPr>
        <w:numId w:val="3"/>
      </w:numPr>
    </w:pPr>
  </w:style>
  <w:style w:type="paragraph" w:styleId="ListContinue2">
    <w:name w:val="List Continue 2"/>
    <w:basedOn w:val="List2"/>
    <w:rsid w:val="00D35823"/>
    <w:pPr>
      <w:ind w:firstLine="0"/>
    </w:pPr>
  </w:style>
  <w:style w:type="paragraph" w:styleId="ListContinue3">
    <w:name w:val="List Continue 3"/>
    <w:basedOn w:val="List3"/>
    <w:rsid w:val="00D35823"/>
    <w:pPr>
      <w:ind w:left="1021" w:firstLine="0"/>
    </w:pPr>
  </w:style>
  <w:style w:type="paragraph" w:styleId="ListContinue4">
    <w:name w:val="List Continue 4"/>
    <w:basedOn w:val="List4"/>
    <w:rsid w:val="00D35823"/>
    <w:pPr>
      <w:ind w:firstLine="0"/>
    </w:pPr>
  </w:style>
  <w:style w:type="paragraph" w:styleId="ListContinue5">
    <w:name w:val="List Continue 5"/>
    <w:basedOn w:val="List5"/>
    <w:rsid w:val="00D35823"/>
    <w:pPr>
      <w:ind w:firstLine="0"/>
    </w:pPr>
  </w:style>
  <w:style w:type="paragraph" w:styleId="ListNumber3">
    <w:name w:val="List Number 3"/>
    <w:basedOn w:val="List3"/>
    <w:rsid w:val="00D35823"/>
    <w:pPr>
      <w:numPr>
        <w:numId w:val="4"/>
      </w:numPr>
    </w:pPr>
  </w:style>
  <w:style w:type="paragraph" w:styleId="ListNumber4">
    <w:name w:val="List Number 4"/>
    <w:basedOn w:val="List4"/>
    <w:rsid w:val="00D35823"/>
    <w:pPr>
      <w:numPr>
        <w:numId w:val="5"/>
      </w:numPr>
    </w:pPr>
  </w:style>
  <w:style w:type="paragraph" w:styleId="ListNumber5">
    <w:name w:val="List Number 5"/>
    <w:basedOn w:val="List5"/>
    <w:rsid w:val="00D35823"/>
    <w:pPr>
      <w:numPr>
        <w:numId w:val="6"/>
      </w:numPr>
    </w:pPr>
  </w:style>
  <w:style w:type="paragraph" w:styleId="BlockText">
    <w:name w:val="Block Text"/>
    <w:basedOn w:val="Normal"/>
    <w:rsid w:val="00D35823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D35823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D35823"/>
    <w:rPr>
      <w:sz w:val="16"/>
      <w:vertAlign w:val="superscript"/>
    </w:rPr>
  </w:style>
  <w:style w:type="character" w:customStyle="1" w:styleId="Symbols">
    <w:name w:val="Symbols"/>
    <w:basedOn w:val="DefaultParagraphFont"/>
    <w:rsid w:val="00D35823"/>
    <w:rPr>
      <w:rFonts w:ascii="Symbol" w:hAnsi="Symbol"/>
    </w:rPr>
  </w:style>
  <w:style w:type="character" w:customStyle="1" w:styleId="MenuOptions">
    <w:name w:val="Menu Options"/>
    <w:basedOn w:val="DefaultParagraphFont"/>
    <w:rsid w:val="00D35823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D35823"/>
    <w:rPr>
      <w:b/>
    </w:rPr>
  </w:style>
  <w:style w:type="character" w:customStyle="1" w:styleId="Underlined">
    <w:name w:val="Underlined"/>
    <w:basedOn w:val="DefaultParagraphFont"/>
    <w:rsid w:val="00D35823"/>
    <w:rPr>
      <w:u w:val="single"/>
    </w:rPr>
  </w:style>
  <w:style w:type="paragraph" w:customStyle="1" w:styleId="TableBodyTextRight">
    <w:name w:val="Table Body Text Right"/>
    <w:basedOn w:val="TableBodyText"/>
    <w:rsid w:val="00D35823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D35823"/>
    <w:rPr>
      <w:sz w:val="18"/>
    </w:rPr>
  </w:style>
  <w:style w:type="paragraph" w:customStyle="1" w:styleId="BodySmallRight">
    <w:name w:val="Body Small Right"/>
    <w:basedOn w:val="BodyTextRight"/>
    <w:rsid w:val="00D35823"/>
    <w:rPr>
      <w:sz w:val="18"/>
      <w:szCs w:val="18"/>
    </w:rPr>
  </w:style>
  <w:style w:type="paragraph" w:customStyle="1" w:styleId="MarginEdition">
    <w:name w:val="Margin Edition"/>
    <w:basedOn w:val="MarginNote"/>
    <w:rsid w:val="00D35823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D35823"/>
    <w:rPr>
      <w:sz w:val="2"/>
      <w:szCs w:val="2"/>
    </w:rPr>
  </w:style>
  <w:style w:type="character" w:customStyle="1" w:styleId="Small">
    <w:name w:val="Small"/>
    <w:basedOn w:val="DefaultParagraphFont"/>
    <w:rsid w:val="00D35823"/>
    <w:rPr>
      <w:sz w:val="16"/>
    </w:rPr>
  </w:style>
  <w:style w:type="paragraph" w:customStyle="1" w:styleId="WideTable">
    <w:name w:val="Wide Table"/>
    <w:basedOn w:val="Normal"/>
    <w:rsid w:val="00D35823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D35823"/>
  </w:style>
  <w:style w:type="paragraph" w:styleId="Quote">
    <w:name w:val="Quote"/>
    <w:basedOn w:val="Heading1"/>
    <w:link w:val="QuoteChar"/>
    <w:qFormat/>
    <w:rsid w:val="00D35823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D35823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D35823"/>
    <w:pPr>
      <w:pageBreakBefore/>
    </w:pPr>
  </w:style>
  <w:style w:type="paragraph" w:customStyle="1" w:styleId="Border">
    <w:name w:val="Border"/>
    <w:basedOn w:val="Normal"/>
    <w:qFormat/>
    <w:rsid w:val="00D35823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D3582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8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823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D35823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D35823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D35823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D35823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D35823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BoldandItalics">
    <w:name w:val="Bold and Italics"/>
    <w:qFormat/>
    <w:rsid w:val="00D35823"/>
    <w:rPr>
      <w:b/>
      <w:i/>
      <w:u w:val="none"/>
    </w:rPr>
  </w:style>
  <w:style w:type="paragraph" w:styleId="BalloonText">
    <w:name w:val="Balloon Text"/>
    <w:basedOn w:val="Normal"/>
    <w:link w:val="BalloonTextChar"/>
    <w:rsid w:val="00D3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823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35823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D35823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D35823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D35823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5745</Characters>
  <Application>Microsoft Office Word</Application>
  <DocSecurity>0</DocSecurity>
  <Lines>216</Lines>
  <Paragraphs>146</Paragraphs>
  <ScaleCrop>false</ScaleCrop>
  <Company>Author-it Software Corporation Ltd.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PUA31102 Certificate III in Public Safety (Driving in a Threat Environment)</dc:title>
  <dc:subject>Approved</dc:subject>
  <dc:creator>Government Skills Australia</dc:creator>
  <cp:keywords>Release: 1</cp:keywords>
  <dc:description>Copyright © 1996-2007 Author-it Software Corporation Ltd., all rights reserved.</dc:description>
  <cp:lastModifiedBy>TPCMS</cp:lastModifiedBy>
  <cp:revision>3</cp:revision>
  <dcterms:created xsi:type="dcterms:W3CDTF">2012-09-24T08:19:00Z</dcterms:created>
  <dcterms:modified xsi:type="dcterms:W3CDTF">2012-09-24T08:19:00Z</dcterms:modified>
</cp:coreProperties>
</file>