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515229"/>
    <w:bookmarkEnd w:id="0"/>
    <w:p w:rsidR="00BD4694" w:rsidRDefault="00BD4694" w:rsidP="00BD4694">
      <w:pPr>
        <w:pStyle w:val="Title"/>
      </w:pPr>
      <w:r>
        <w:fldChar w:fldCharType="begin"/>
      </w:r>
      <w:r>
        <w:instrText xml:space="preserve"> TITLE   \* MERGEFORMAT </w:instrText>
      </w:r>
      <w:r>
        <w:fldChar w:fldCharType="separate"/>
      </w:r>
      <w:r>
        <w:t>FPP10 Pulp &amp; Paper Manufacturing Industry Training Package</w:t>
      </w:r>
      <w:r>
        <w:fldChar w:fldCharType="end"/>
      </w:r>
    </w:p>
    <w:p w:rsidR="00BD4694" w:rsidRDefault="00BD4694" w:rsidP="00BD4694">
      <w:pPr>
        <w:pStyle w:val="Version"/>
        <w:sectPr w:rsidR="00BD4694" w:rsidSect="00220DAC">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1.2</w:t>
        </w:r>
      </w:fldSimple>
    </w:p>
    <w:p w:rsidR="00BD4694" w:rsidRDefault="00BD4694" w:rsidP="00BD4694">
      <w:pPr>
        <w:pStyle w:val="TOCTitle"/>
      </w:pPr>
      <w:r>
        <w:lastRenderedPageBreak/>
        <w:t>Contents</w:t>
      </w:r>
    </w:p>
    <w:p w:rsidR="00BD4694" w:rsidRDefault="00BD4694" w:rsidP="00BD4694">
      <w:pPr>
        <w:pStyle w:val="TableofFigures"/>
        <w:rPr>
          <w:rFonts w:asciiTheme="minorHAnsi" w:eastAsiaTheme="minorEastAsia" w:hAnsiTheme="minorHAnsi" w:cstheme="minorBidi"/>
          <w:b w:val="0"/>
          <w:noProof/>
          <w:szCs w:val="22"/>
          <w:lang w:eastAsia="en-AU"/>
        </w:rPr>
      </w:pPr>
      <w:r>
        <w:fldChar w:fldCharType="begin"/>
      </w:r>
      <w:r>
        <w:instrText xml:space="preserve"> TOC \h \z \t "SuperHeading" \c </w:instrText>
      </w:r>
      <w:r>
        <w:fldChar w:fldCharType="separate"/>
      </w:r>
      <w:hyperlink w:anchor="_Toc394059854" w:history="1">
        <w:r w:rsidRPr="006652FD">
          <w:rPr>
            <w:rStyle w:val="Hyperlink"/>
            <w:noProof/>
          </w:rPr>
          <w:t>Preliminary Information</w:t>
        </w:r>
        <w:r>
          <w:rPr>
            <w:noProof/>
            <w:webHidden/>
          </w:rPr>
          <w:tab/>
        </w:r>
        <w:r>
          <w:rPr>
            <w:noProof/>
            <w:webHidden/>
          </w:rPr>
          <w:fldChar w:fldCharType="begin"/>
        </w:r>
        <w:r>
          <w:rPr>
            <w:noProof/>
            <w:webHidden/>
          </w:rPr>
          <w:instrText xml:space="preserve"> PAGEREF _Toc394059854 \h </w:instrText>
        </w:r>
        <w:r>
          <w:rPr>
            <w:noProof/>
            <w:webHidden/>
          </w:rPr>
        </w:r>
        <w:r>
          <w:rPr>
            <w:noProof/>
            <w:webHidden/>
          </w:rPr>
          <w:fldChar w:fldCharType="separate"/>
        </w:r>
        <w:r>
          <w:rPr>
            <w:noProof/>
            <w:webHidden/>
          </w:rPr>
          <w:t>4</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55" w:history="1">
        <w:r w:rsidRPr="006652FD">
          <w:rPr>
            <w:rStyle w:val="Hyperlink"/>
            <w:noProof/>
          </w:rPr>
          <w:t>Overview</w:t>
        </w:r>
        <w:r>
          <w:rPr>
            <w:noProof/>
            <w:webHidden/>
          </w:rPr>
          <w:tab/>
        </w:r>
        <w:r>
          <w:rPr>
            <w:noProof/>
            <w:webHidden/>
          </w:rPr>
          <w:fldChar w:fldCharType="begin"/>
        </w:r>
        <w:r>
          <w:rPr>
            <w:noProof/>
            <w:webHidden/>
          </w:rPr>
          <w:instrText xml:space="preserve"> PAGEREF _Toc394059855 \h </w:instrText>
        </w:r>
        <w:r>
          <w:rPr>
            <w:noProof/>
            <w:webHidden/>
          </w:rPr>
        </w:r>
        <w:r>
          <w:rPr>
            <w:noProof/>
            <w:webHidden/>
          </w:rPr>
          <w:fldChar w:fldCharType="separate"/>
        </w:r>
        <w:r>
          <w:rPr>
            <w:noProof/>
            <w:webHidden/>
          </w:rPr>
          <w:t>21</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56" w:history="1">
        <w:r w:rsidRPr="006652FD">
          <w:rPr>
            <w:rStyle w:val="Hyperlink"/>
            <w:noProof/>
          </w:rPr>
          <w:t>Introduction to FPP10 Version 1</w:t>
        </w:r>
        <w:r>
          <w:rPr>
            <w:noProof/>
            <w:webHidden/>
          </w:rPr>
          <w:tab/>
        </w:r>
        <w:r>
          <w:rPr>
            <w:noProof/>
            <w:webHidden/>
          </w:rPr>
          <w:fldChar w:fldCharType="begin"/>
        </w:r>
        <w:r>
          <w:rPr>
            <w:noProof/>
            <w:webHidden/>
          </w:rPr>
          <w:instrText xml:space="preserve"> PAGEREF _Toc394059856 \h </w:instrText>
        </w:r>
        <w:r>
          <w:rPr>
            <w:noProof/>
            <w:webHidden/>
          </w:rPr>
        </w:r>
        <w:r>
          <w:rPr>
            <w:noProof/>
            <w:webHidden/>
          </w:rPr>
          <w:fldChar w:fldCharType="separate"/>
        </w:r>
        <w:r>
          <w:rPr>
            <w:noProof/>
            <w:webHidden/>
          </w:rPr>
          <w:t>26</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57" w:history="1">
        <w:r w:rsidRPr="006652FD">
          <w:rPr>
            <w:rStyle w:val="Hyperlink"/>
            <w:noProof/>
          </w:rPr>
          <w:t>List of AQF Qualifications</w:t>
        </w:r>
        <w:r>
          <w:rPr>
            <w:noProof/>
            <w:webHidden/>
          </w:rPr>
          <w:tab/>
        </w:r>
        <w:r>
          <w:rPr>
            <w:noProof/>
            <w:webHidden/>
          </w:rPr>
          <w:fldChar w:fldCharType="begin"/>
        </w:r>
        <w:r>
          <w:rPr>
            <w:noProof/>
            <w:webHidden/>
          </w:rPr>
          <w:instrText xml:space="preserve"> PAGEREF _Toc394059857 \h </w:instrText>
        </w:r>
        <w:r>
          <w:rPr>
            <w:noProof/>
            <w:webHidden/>
          </w:rPr>
        </w:r>
        <w:r>
          <w:rPr>
            <w:noProof/>
            <w:webHidden/>
          </w:rPr>
          <w:fldChar w:fldCharType="separate"/>
        </w:r>
        <w:r>
          <w:rPr>
            <w:noProof/>
            <w:webHidden/>
          </w:rPr>
          <w:t>26</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58" w:history="1">
        <w:r w:rsidRPr="006652FD">
          <w:rPr>
            <w:rStyle w:val="Hyperlink"/>
            <w:noProof/>
          </w:rPr>
          <w:t>Units of Competency FPP10</w:t>
        </w:r>
        <w:r>
          <w:rPr>
            <w:noProof/>
            <w:webHidden/>
          </w:rPr>
          <w:tab/>
        </w:r>
        <w:r>
          <w:rPr>
            <w:noProof/>
            <w:webHidden/>
          </w:rPr>
          <w:fldChar w:fldCharType="begin"/>
        </w:r>
        <w:r>
          <w:rPr>
            <w:noProof/>
            <w:webHidden/>
          </w:rPr>
          <w:instrText xml:space="preserve"> PAGEREF _Toc394059858 \h </w:instrText>
        </w:r>
        <w:r>
          <w:rPr>
            <w:noProof/>
            <w:webHidden/>
          </w:rPr>
        </w:r>
        <w:r>
          <w:rPr>
            <w:noProof/>
            <w:webHidden/>
          </w:rPr>
          <w:fldChar w:fldCharType="separate"/>
        </w:r>
        <w:r>
          <w:rPr>
            <w:noProof/>
            <w:webHidden/>
          </w:rPr>
          <w:t>27</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59" w:history="1">
        <w:r w:rsidRPr="006652FD">
          <w:rPr>
            <w:rStyle w:val="Hyperlink"/>
            <w:noProof/>
          </w:rPr>
          <w:t>Imported Units of Competency FPP10</w:t>
        </w:r>
        <w:r>
          <w:rPr>
            <w:noProof/>
            <w:webHidden/>
          </w:rPr>
          <w:tab/>
        </w:r>
        <w:r>
          <w:rPr>
            <w:noProof/>
            <w:webHidden/>
          </w:rPr>
          <w:fldChar w:fldCharType="begin"/>
        </w:r>
        <w:r>
          <w:rPr>
            <w:noProof/>
            <w:webHidden/>
          </w:rPr>
          <w:instrText xml:space="preserve"> PAGEREF _Toc394059859 \h </w:instrText>
        </w:r>
        <w:r>
          <w:rPr>
            <w:noProof/>
            <w:webHidden/>
          </w:rPr>
        </w:r>
        <w:r>
          <w:rPr>
            <w:noProof/>
            <w:webHidden/>
          </w:rPr>
          <w:fldChar w:fldCharType="separate"/>
        </w:r>
        <w:r>
          <w:rPr>
            <w:noProof/>
            <w:webHidden/>
          </w:rPr>
          <w:t>31</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60" w:history="1">
        <w:r w:rsidRPr="006652FD">
          <w:rPr>
            <w:rStyle w:val="Hyperlink"/>
            <w:noProof/>
          </w:rPr>
          <w:t>Qualifications Framework</w:t>
        </w:r>
        <w:r>
          <w:rPr>
            <w:noProof/>
            <w:webHidden/>
          </w:rPr>
          <w:tab/>
        </w:r>
        <w:r>
          <w:rPr>
            <w:noProof/>
            <w:webHidden/>
          </w:rPr>
          <w:fldChar w:fldCharType="begin"/>
        </w:r>
        <w:r>
          <w:rPr>
            <w:noProof/>
            <w:webHidden/>
          </w:rPr>
          <w:instrText xml:space="preserve"> PAGEREF _Toc394059860 \h </w:instrText>
        </w:r>
        <w:r>
          <w:rPr>
            <w:noProof/>
            <w:webHidden/>
          </w:rPr>
        </w:r>
        <w:r>
          <w:rPr>
            <w:noProof/>
            <w:webHidden/>
          </w:rPr>
          <w:fldChar w:fldCharType="separate"/>
        </w:r>
        <w:r>
          <w:rPr>
            <w:noProof/>
            <w:webHidden/>
          </w:rPr>
          <w:t>36</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61" w:history="1">
        <w:r w:rsidRPr="006652FD">
          <w:rPr>
            <w:rStyle w:val="Hyperlink"/>
            <w:noProof/>
          </w:rPr>
          <w:t>Assessment Guidelines</w:t>
        </w:r>
        <w:r>
          <w:rPr>
            <w:noProof/>
            <w:webHidden/>
          </w:rPr>
          <w:tab/>
        </w:r>
        <w:r>
          <w:rPr>
            <w:noProof/>
            <w:webHidden/>
          </w:rPr>
          <w:fldChar w:fldCharType="begin"/>
        </w:r>
        <w:r>
          <w:rPr>
            <w:noProof/>
            <w:webHidden/>
          </w:rPr>
          <w:instrText xml:space="preserve"> PAGEREF _Toc394059861 \h </w:instrText>
        </w:r>
        <w:r>
          <w:rPr>
            <w:noProof/>
            <w:webHidden/>
          </w:rPr>
        </w:r>
        <w:r>
          <w:rPr>
            <w:noProof/>
            <w:webHidden/>
          </w:rPr>
          <w:fldChar w:fldCharType="separate"/>
        </w:r>
        <w:r>
          <w:rPr>
            <w:noProof/>
            <w:webHidden/>
          </w:rPr>
          <w:t>46</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62" w:history="1">
        <w:r w:rsidRPr="006652FD">
          <w:rPr>
            <w:rStyle w:val="Hyperlink"/>
            <w:noProof/>
          </w:rPr>
          <w:t>Competency Standards</w:t>
        </w:r>
        <w:r>
          <w:rPr>
            <w:noProof/>
            <w:webHidden/>
          </w:rPr>
          <w:tab/>
        </w:r>
        <w:r>
          <w:rPr>
            <w:noProof/>
            <w:webHidden/>
          </w:rPr>
          <w:fldChar w:fldCharType="begin"/>
        </w:r>
        <w:r>
          <w:rPr>
            <w:noProof/>
            <w:webHidden/>
          </w:rPr>
          <w:instrText xml:space="preserve"> PAGEREF _Toc394059862 \h </w:instrText>
        </w:r>
        <w:r>
          <w:rPr>
            <w:noProof/>
            <w:webHidden/>
          </w:rPr>
        </w:r>
        <w:r>
          <w:rPr>
            <w:noProof/>
            <w:webHidden/>
          </w:rPr>
          <w:fldChar w:fldCharType="separate"/>
        </w:r>
        <w:r>
          <w:rPr>
            <w:noProof/>
            <w:webHidden/>
          </w:rPr>
          <w:t>60</w:t>
        </w:r>
        <w:r>
          <w:rPr>
            <w:noProof/>
            <w:webHidden/>
          </w:rPr>
          <w:fldChar w:fldCharType="end"/>
        </w:r>
      </w:hyperlink>
    </w:p>
    <w:p w:rsidR="00BD4694" w:rsidRDefault="00BD4694" w:rsidP="00BD4694">
      <w:pPr>
        <w:pStyle w:val="TableofFigures"/>
        <w:rPr>
          <w:rFonts w:asciiTheme="minorHAnsi" w:eastAsiaTheme="minorEastAsia" w:hAnsiTheme="minorHAnsi" w:cstheme="minorBidi"/>
          <w:b w:val="0"/>
          <w:noProof/>
          <w:szCs w:val="22"/>
          <w:lang w:eastAsia="en-AU"/>
        </w:rPr>
      </w:pPr>
      <w:hyperlink w:anchor="_Toc394059863" w:history="1">
        <w:r w:rsidRPr="006652FD">
          <w:rPr>
            <w:rStyle w:val="Hyperlink"/>
            <w:noProof/>
          </w:rPr>
          <w:t>Licensing_Regulation Requirements</w:t>
        </w:r>
        <w:r>
          <w:rPr>
            <w:noProof/>
            <w:webHidden/>
          </w:rPr>
          <w:tab/>
        </w:r>
        <w:r>
          <w:rPr>
            <w:noProof/>
            <w:webHidden/>
          </w:rPr>
          <w:fldChar w:fldCharType="begin"/>
        </w:r>
        <w:r>
          <w:rPr>
            <w:noProof/>
            <w:webHidden/>
          </w:rPr>
          <w:instrText xml:space="preserve"> PAGEREF _Toc394059863 \h </w:instrText>
        </w:r>
        <w:r>
          <w:rPr>
            <w:noProof/>
            <w:webHidden/>
          </w:rPr>
        </w:r>
        <w:r>
          <w:rPr>
            <w:noProof/>
            <w:webHidden/>
          </w:rPr>
          <w:fldChar w:fldCharType="separate"/>
        </w:r>
        <w:r>
          <w:rPr>
            <w:noProof/>
            <w:webHidden/>
          </w:rPr>
          <w:t>65</w:t>
        </w:r>
        <w:r>
          <w:rPr>
            <w:noProof/>
            <w:webHidden/>
          </w:rPr>
          <w:fldChar w:fldCharType="end"/>
        </w:r>
      </w:hyperlink>
    </w:p>
    <w:p w:rsidR="00BD4694" w:rsidRDefault="00BD4694" w:rsidP="00BD4694">
      <w:pPr>
        <w:pStyle w:val="TOC1"/>
        <w:sectPr w:rsidR="00BD4694" w:rsidSect="00220DAC">
          <w:headerReference w:type="default" r:id="rId13"/>
          <w:footerReference w:type="default" r:id="rId14"/>
          <w:pgSz w:w="11908" w:h="16833"/>
          <w:pgMar w:top="1700" w:right="1418" w:bottom="1700" w:left="1418" w:header="992" w:footer="992" w:gutter="0"/>
          <w:cols w:space="720"/>
          <w:noEndnote/>
          <w:docGrid w:linePitch="299"/>
        </w:sectPr>
      </w:pPr>
      <w:r>
        <w:fldChar w:fldCharType="end"/>
      </w:r>
    </w:p>
    <w:p w:rsidR="00000000" w:rsidRPr="00220DAC" w:rsidRDefault="00BD4694" w:rsidP="00220DAC">
      <w:pPr>
        <w:pStyle w:val="Heading1"/>
      </w:pPr>
      <w:r w:rsidRPr="00220DAC">
        <w:lastRenderedPageBreak/>
        <w:t>Modification History</w:t>
      </w:r>
    </w:p>
    <w:p w:rsidR="00000000" w:rsidRPr="00220DAC" w:rsidRDefault="00BD4694" w:rsidP="00220DAC">
      <w:pPr>
        <w:pStyle w:val="Heading2"/>
      </w:pPr>
      <w:r w:rsidRPr="00220DAC">
        <w:t>Version modification history</w:t>
      </w:r>
    </w:p>
    <w:p w:rsidR="00000000" w:rsidRPr="00220DAC" w:rsidRDefault="00BD4694" w:rsidP="00220DAC">
      <w:pPr>
        <w:pStyle w:val="BodyText"/>
      </w:pPr>
      <w:r w:rsidRPr="00220DAC">
        <w:t>The version details of this endorsed Training Package are in the table below. The latest information is at the top of the table.</w:t>
      </w:r>
    </w:p>
    <w:p w:rsidR="00000000" w:rsidRPr="00220DAC" w:rsidRDefault="00BD4694" w:rsidP="00220DAC">
      <w:pPr>
        <w:pStyle w:val="BodyText"/>
      </w:pPr>
    </w:p>
    <w:tbl>
      <w:tblPr>
        <w:tblW w:w="0" w:type="auto"/>
        <w:tblCellMar>
          <w:left w:w="62" w:type="dxa"/>
          <w:right w:w="62" w:type="dxa"/>
        </w:tblCellMar>
        <w:tblLook w:val="0000" w:firstRow="0" w:lastRow="0" w:firstColumn="0" w:lastColumn="0" w:noHBand="0" w:noVBand="0"/>
      </w:tblPr>
      <w:tblGrid>
        <w:gridCol w:w="1620"/>
        <w:gridCol w:w="3335"/>
        <w:gridCol w:w="5845"/>
      </w:tblGrid>
      <w:tr w:rsidR="00000000" w:rsidTr="00BD4694">
        <w:trPr>
          <w:tblHeader/>
        </w:trPr>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62" w:type="dxa"/>
              <w:bottom w:w="0" w:type="dxa"/>
              <w:right w:w="62" w:type="dxa"/>
            </w:tcMar>
          </w:tcPr>
          <w:p w:rsidR="00000000" w:rsidRPr="00220DAC" w:rsidRDefault="00BD4694" w:rsidP="00220DAC">
            <w:pPr>
              <w:pStyle w:val="BodyText"/>
            </w:pPr>
            <w:r w:rsidRPr="00220DAC">
              <w:rPr>
                <w:rStyle w:val="SpecialBold"/>
              </w:rPr>
              <w:t>Version</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62" w:type="dxa"/>
              <w:bottom w:w="0" w:type="dxa"/>
              <w:right w:w="62" w:type="dxa"/>
            </w:tcMar>
          </w:tcPr>
          <w:p w:rsidR="00000000" w:rsidRPr="00220DAC" w:rsidRDefault="00BD4694" w:rsidP="00220DAC">
            <w:pPr>
              <w:pStyle w:val="BodyText"/>
            </w:pPr>
            <w:r w:rsidRPr="00220DAC">
              <w:rPr>
                <w:rStyle w:val="SpecialBold"/>
              </w:rPr>
              <w:t>Release Date</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62" w:type="dxa"/>
              <w:bottom w:w="0" w:type="dxa"/>
              <w:right w:w="62" w:type="dxa"/>
            </w:tcMar>
          </w:tcPr>
          <w:p w:rsidR="00000000" w:rsidRDefault="00BD4694" w:rsidP="00220DAC">
            <w:pPr>
              <w:pStyle w:val="BodyText"/>
              <w:rPr>
                <w:lang w:val="en-NZ"/>
              </w:rPr>
            </w:pPr>
            <w:r w:rsidRPr="00220DAC">
              <w:rPr>
                <w:rStyle w:val="SpecialBold"/>
              </w:rPr>
              <w:t>Comments</w:t>
            </w:r>
          </w:p>
        </w:tc>
      </w:tr>
      <w:tr w:rsidR="00000000" w:rsidTr="00BD4694">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1.2</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27/05/13</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Imported units updated where equivalent, alignment an</w:t>
            </w:r>
            <w:r w:rsidRPr="00220DAC">
              <w:t>d formatting issues corrected.</w:t>
            </w:r>
          </w:p>
        </w:tc>
      </w:tr>
      <w:tr w:rsidR="00000000" w:rsidTr="00BD4694">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1.1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r w:rsidRPr="00220DAC">
              <w:t>01/06/11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r w:rsidRPr="00220DAC">
              <w:rPr>
                <w:rStyle w:val="SpecialBold"/>
              </w:rPr>
              <w:t>New Imported Units</w:t>
            </w:r>
          </w:p>
          <w:p w:rsidR="00000000" w:rsidRPr="00220DAC" w:rsidRDefault="00BD4694" w:rsidP="00220DAC">
            <w:pPr>
              <w:pStyle w:val="BodyText"/>
            </w:pPr>
            <w:r w:rsidRPr="00220DAC">
              <w:t>The following units from FPI05 Forest and Forest Products Training Package have been added to the elective bank in FPP50110 Diploma of Pulp and Paper Process Management:</w:t>
            </w:r>
          </w:p>
          <w:p w:rsidR="00000000" w:rsidRPr="00220DAC" w:rsidRDefault="00BD4694" w:rsidP="00220DAC">
            <w:pPr>
              <w:pStyle w:val="ListBullet"/>
            </w:pPr>
            <w:r w:rsidRPr="00220DAC">
              <w:t>FPICOT6205A Prepare an enterprise carbon management report</w:t>
            </w:r>
          </w:p>
          <w:p w:rsidR="00000000" w:rsidRPr="00220DAC" w:rsidRDefault="00BD4694" w:rsidP="00220DAC">
            <w:pPr>
              <w:pStyle w:val="ListBullet"/>
            </w:pPr>
            <w:r w:rsidRPr="00220DAC">
              <w:t>FPICOR6201A Manage sustainability in the workplace</w:t>
            </w:r>
          </w:p>
          <w:p w:rsidR="00000000" w:rsidRPr="00220DAC" w:rsidRDefault="00BD4694" w:rsidP="00220DAC">
            <w:pPr>
              <w:pStyle w:val="ListBullet"/>
            </w:pPr>
            <w:r w:rsidRPr="00220DAC">
              <w:t>FPICOT5208A Build and maintain community relationships</w:t>
            </w:r>
          </w:p>
          <w:p w:rsidR="00000000" w:rsidRPr="00220DAC" w:rsidRDefault="00BD4694" w:rsidP="00220DAC">
            <w:pPr>
              <w:pStyle w:val="ListBullet"/>
            </w:pPr>
            <w:r w:rsidRPr="00220DAC">
              <w:t>FPICOT5207A Implement sustainability in the workplace</w:t>
            </w:r>
          </w:p>
          <w:p w:rsidR="00000000" w:rsidRDefault="00BD4694" w:rsidP="00220DAC">
            <w:pPr>
              <w:pStyle w:val="ListBullet"/>
              <w:rPr>
                <w:lang w:val="en-NZ"/>
              </w:rPr>
            </w:pPr>
            <w:r w:rsidRPr="00220DAC">
              <w:t>FPICOT6201A Manage community engageme</w:t>
            </w:r>
            <w:r w:rsidRPr="00220DAC">
              <w:t>nt</w:t>
            </w:r>
          </w:p>
        </w:tc>
      </w:tr>
      <w:tr w:rsidR="00000000" w:rsidRPr="00220DAC" w:rsidTr="00BD4694">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1.0</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To be added once on NTIS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r w:rsidRPr="00220DAC">
              <w:t>Primary release, replacing FPP01</w:t>
            </w:r>
          </w:p>
        </w:tc>
      </w:tr>
    </w:tbl>
    <w:p w:rsidR="00000000" w:rsidRPr="00220DAC" w:rsidRDefault="00BD4694" w:rsidP="00220DAC">
      <w:pPr>
        <w:pStyle w:val="BodyText"/>
      </w:pPr>
    </w:p>
    <w:p w:rsidR="00000000" w:rsidRPr="00220DAC" w:rsidRDefault="00BD4694" w:rsidP="00220DAC">
      <w:pPr>
        <w:pStyle w:val="AllowPageBreak"/>
      </w:pPr>
    </w:p>
    <w:p w:rsidR="00000000" w:rsidRPr="00220DAC" w:rsidRDefault="00BD4694" w:rsidP="00220DAC">
      <w:pPr>
        <w:pStyle w:val="SuperHeading"/>
      </w:pPr>
      <w:bookmarkStart w:id="2" w:name="O_515228"/>
      <w:bookmarkStart w:id="3" w:name="_Toc394059854"/>
      <w:bookmarkEnd w:id="2"/>
      <w:r w:rsidRPr="00220DAC">
        <w:lastRenderedPageBreak/>
        <w:t>Preliminary Information</w:t>
      </w:r>
      <w:bookmarkEnd w:id="3"/>
    </w:p>
    <w:p w:rsidR="00000000" w:rsidRPr="00220DAC" w:rsidRDefault="00BD4694" w:rsidP="00220DAC">
      <w:pPr>
        <w:pStyle w:val="Heading1"/>
      </w:pPr>
    </w:p>
    <w:p w:rsidR="00000000" w:rsidRPr="00220DAC" w:rsidRDefault="00BD4694" w:rsidP="00220DAC">
      <w:pPr>
        <w:pStyle w:val="Heading2"/>
      </w:pPr>
      <w:r w:rsidRPr="00220DAC">
        <w:t>Important Note to Users</w:t>
      </w:r>
    </w:p>
    <w:p w:rsidR="00000000" w:rsidRPr="00220DAC" w:rsidRDefault="00BD4694" w:rsidP="00220DAC">
      <w:pPr>
        <w:pStyle w:val="BodyText"/>
      </w:pPr>
      <w:r w:rsidRPr="00220DAC">
        <w:t>Training Packages are not static documents; they are amended periodically to reflect the latest industry practices and are version controlled. It is essential that the latest version is always used.</w:t>
      </w:r>
    </w:p>
    <w:p w:rsidR="00000000" w:rsidRPr="00220DAC" w:rsidRDefault="00BD4694" w:rsidP="00220DAC">
      <w:pPr>
        <w:pStyle w:val="BodyText"/>
      </w:pPr>
    </w:p>
    <w:p w:rsidR="00000000" w:rsidRPr="00220DAC" w:rsidRDefault="00BD4694" w:rsidP="00220DAC">
      <w:pPr>
        <w:pStyle w:val="BodyText"/>
      </w:pPr>
      <w:r w:rsidRPr="00220DAC">
        <w:rPr>
          <w:rStyle w:val="SpecialBold"/>
        </w:rPr>
        <w:t>Check the version number before commencing training or a</w:t>
      </w:r>
      <w:r w:rsidRPr="00220DAC">
        <w:rPr>
          <w:rStyle w:val="SpecialBold"/>
        </w:rPr>
        <w:t>ssessment</w:t>
      </w:r>
    </w:p>
    <w:p w:rsidR="00BD4694" w:rsidRDefault="00BD4694" w:rsidP="00220DAC">
      <w:pPr>
        <w:pStyle w:val="BodyText"/>
      </w:pPr>
      <w:r w:rsidRPr="00220DAC">
        <w:t>This Training Package is Version 1, check whether this is the latest version by going to the National Training Information Service (</w:t>
      </w:r>
      <w:r w:rsidRPr="00220DAC">
        <w:rPr>
          <w:rStyle w:val="Emphasis"/>
        </w:rPr>
        <w:t>www.ntis.gov.au</w:t>
      </w:r>
      <w:r w:rsidRPr="00220DAC">
        <w:t xml:space="preserve">) and locating information about the Training Package. Alternatively, contact </w:t>
      </w:r>
      <w:r w:rsidRPr="00220DAC">
        <w:rPr>
          <w:rStyle w:val="BoldandItalics"/>
        </w:rPr>
        <w:t xml:space="preserve">ForestWorks </w:t>
      </w:r>
      <w:r w:rsidRPr="00220DAC">
        <w:t>at www.fo</w:t>
      </w:r>
      <w:r w:rsidRPr="00220DAC">
        <w:t xml:space="preserve">restworks.com.au to confirm the latest version number. </w:t>
      </w:r>
    </w:p>
    <w:p w:rsidR="00BD4694" w:rsidRDefault="00BD4694" w:rsidP="00220DAC">
      <w:pPr>
        <w:pStyle w:val="BodyText"/>
      </w:pPr>
    </w:p>
    <w:p w:rsidR="00000000" w:rsidRPr="00220DAC" w:rsidRDefault="00BD4694" w:rsidP="00220DAC">
      <w:pPr>
        <w:pStyle w:val="BodyText"/>
      </w:pPr>
      <w:r w:rsidRPr="00220DAC">
        <w:rPr>
          <w:rStyle w:val="SpecialBold"/>
        </w:rPr>
        <w:t xml:space="preserve">Explanation of version number conventions </w:t>
      </w:r>
    </w:p>
    <w:p w:rsidR="00000000" w:rsidRPr="00220DAC" w:rsidRDefault="00BD4694" w:rsidP="00220DAC">
      <w:pPr>
        <w:pStyle w:val="BodyText"/>
      </w:pPr>
      <w:r w:rsidRPr="00220DAC">
        <w:t>The primary release Training Package is Version 1. When changes are made to a Training Package, sometimes the version number is changed and sometimes it i</w:t>
      </w:r>
      <w:r w:rsidRPr="00220DAC">
        <w:t>s not, depending on the extent of the change. When a Training Package is reviewed it is considered to be a new Training Package for the purposes of version control, and is Version 1. Do not confuse the version number with the Training Package’s national co</w:t>
      </w:r>
      <w:r w:rsidRPr="00220DAC">
        <w:t xml:space="preserve">de (which remains the same during its period of endorsement). </w:t>
      </w:r>
    </w:p>
    <w:p w:rsidR="00000000" w:rsidRPr="00220DAC" w:rsidRDefault="00BD4694" w:rsidP="00220DAC">
      <w:pPr>
        <w:pStyle w:val="BodyText"/>
      </w:pPr>
    </w:p>
    <w:p w:rsidR="00000000" w:rsidRPr="00220DAC" w:rsidRDefault="00BD4694" w:rsidP="00220DAC">
      <w:pPr>
        <w:pStyle w:val="BodyText"/>
      </w:pPr>
      <w:r w:rsidRPr="00220DAC">
        <w:rPr>
          <w:rStyle w:val="SpecialBold"/>
        </w:rPr>
        <w:t>Explanation of the review date</w:t>
      </w:r>
    </w:p>
    <w:p w:rsidR="00BD4694" w:rsidRDefault="00BD4694" w:rsidP="00220DAC">
      <w:pPr>
        <w:pStyle w:val="BodyText"/>
      </w:pPr>
      <w:r w:rsidRPr="00220DAC">
        <w:t>The review date (shown on the title page and in the footer of each page) indicates when the Training Package is expected to be reviewed in the light of changes s</w:t>
      </w:r>
      <w:r w:rsidRPr="00220DAC">
        <w:t>uch as changing technologies and circumstances. The review date is not an expiry date. Endorsed Training Packages and their components remain current until they are reviewed or replaced.</w:t>
      </w:r>
    </w:p>
    <w:p w:rsidR="00BD4694" w:rsidRDefault="00BD4694" w:rsidP="00220DAC">
      <w:pPr>
        <w:pStyle w:val="BodyText"/>
      </w:pPr>
    </w:p>
    <w:p w:rsidR="00000000" w:rsidRPr="00220DAC" w:rsidRDefault="00BD4694" w:rsidP="00220DAC">
      <w:pPr>
        <w:pStyle w:val="Heading2"/>
      </w:pPr>
      <w:r w:rsidRPr="00220DAC">
        <w:t>How is FPP10 different to FPP01?</w:t>
      </w:r>
    </w:p>
    <w:p w:rsidR="00000000" w:rsidRPr="00220DAC" w:rsidRDefault="00BD4694" w:rsidP="00220DAC">
      <w:pPr>
        <w:pStyle w:val="BodyText"/>
      </w:pPr>
      <w:r w:rsidRPr="00220DAC">
        <w:t>The number of qualifications has been reduced from nine to seven and the structure has changed as follows:</w:t>
      </w:r>
    </w:p>
    <w:p w:rsidR="00000000" w:rsidRPr="00220DAC" w:rsidRDefault="00BD4694" w:rsidP="00220DAC">
      <w:pPr>
        <w:pStyle w:val="ListBullet2"/>
      </w:pPr>
      <w:r w:rsidRPr="00220DAC">
        <w:t xml:space="preserve">‘manufacturing’ and ‘services’ qualifications have been replaced with: </w:t>
      </w:r>
    </w:p>
    <w:p w:rsidR="00000000" w:rsidRPr="00220DAC" w:rsidRDefault="00BD4694" w:rsidP="00220DAC">
      <w:pPr>
        <w:pStyle w:val="ListBullet2"/>
      </w:pPr>
      <w:r w:rsidRPr="00220DAC">
        <w:t xml:space="preserve">Certificates II, III and IV in Pulping Operations </w:t>
      </w:r>
    </w:p>
    <w:p w:rsidR="00000000" w:rsidRPr="00220DAC" w:rsidRDefault="00BD4694" w:rsidP="00220DAC">
      <w:pPr>
        <w:pStyle w:val="ListBullet2"/>
      </w:pPr>
      <w:r w:rsidRPr="00220DAC">
        <w:t xml:space="preserve">Certificates II, III and </w:t>
      </w:r>
      <w:r w:rsidRPr="00220DAC">
        <w:t xml:space="preserve">IV in Papermaking Operations </w:t>
      </w:r>
    </w:p>
    <w:p w:rsidR="00BD4694" w:rsidRDefault="00BD4694" w:rsidP="00220DAC">
      <w:pPr>
        <w:pStyle w:val="ListBullet"/>
      </w:pPr>
      <w:r w:rsidRPr="00220DAC">
        <w:t>services specialisations are now available via both pulping and papermaking operations qualifications as above.</w:t>
      </w:r>
    </w:p>
    <w:p w:rsidR="00BD4694" w:rsidRDefault="00BD4694" w:rsidP="00220DAC">
      <w:pPr>
        <w:pStyle w:val="ListBullet"/>
      </w:pPr>
    </w:p>
    <w:p w:rsidR="00000000" w:rsidRPr="00220DAC" w:rsidRDefault="00BD4694" w:rsidP="00220DAC">
      <w:pPr>
        <w:pStyle w:val="Heading2"/>
      </w:pPr>
      <w:r w:rsidRPr="00220DAC">
        <w:t>FPP01 Summary of changes</w:t>
      </w:r>
    </w:p>
    <w:p w:rsidR="00000000" w:rsidRPr="00220DAC" w:rsidRDefault="00BD4694" w:rsidP="00220DAC">
      <w:pPr>
        <w:pStyle w:val="BodyText"/>
      </w:pPr>
      <w:r w:rsidRPr="00220DAC">
        <w:t xml:space="preserve">The number of qualifications has been reduced from nine to seven. </w:t>
      </w:r>
    </w:p>
    <w:p w:rsidR="00000000" w:rsidRPr="00220DAC" w:rsidRDefault="00BD4694" w:rsidP="00220DAC">
      <w:pPr>
        <w:pStyle w:val="BodyText"/>
      </w:pPr>
      <w:r w:rsidRPr="00220DAC">
        <w:t>Separate ‘manufactu</w:t>
      </w:r>
      <w:r w:rsidRPr="00220DAC">
        <w:t xml:space="preserve">ring’ and ‘services’ qualifications no longer exist and have been replaced by: </w:t>
      </w:r>
    </w:p>
    <w:p w:rsidR="00000000" w:rsidRPr="00220DAC" w:rsidRDefault="00BD4694" w:rsidP="00220DAC">
      <w:pPr>
        <w:pStyle w:val="ListBullet2"/>
      </w:pPr>
      <w:r w:rsidRPr="00220DAC">
        <w:t xml:space="preserve">Certificates II, III and IV in Pulping Operations </w:t>
      </w:r>
    </w:p>
    <w:p w:rsidR="00000000" w:rsidRPr="00220DAC" w:rsidRDefault="00BD4694" w:rsidP="00220DAC">
      <w:pPr>
        <w:pStyle w:val="ListBullet2"/>
      </w:pPr>
      <w:r w:rsidRPr="00220DAC">
        <w:lastRenderedPageBreak/>
        <w:t xml:space="preserve">Certificates II, III and IV in Papermaking Operations </w:t>
      </w:r>
    </w:p>
    <w:p w:rsidR="00000000" w:rsidRPr="00220DAC" w:rsidRDefault="00BD4694" w:rsidP="00220DAC">
      <w:pPr>
        <w:pStyle w:val="ListBullet2"/>
      </w:pPr>
      <w:r w:rsidRPr="00220DAC">
        <w:t>Services specialisations are now available via both pulping and papermaking operations qualifications as above</w:t>
      </w:r>
    </w:p>
    <w:p w:rsidR="00000000" w:rsidRPr="00220DAC" w:rsidRDefault="00BD4694" w:rsidP="00220DAC">
      <w:pPr>
        <w:pStyle w:val="BodyText"/>
      </w:pPr>
      <w:r w:rsidRPr="00220DAC">
        <w:t xml:space="preserve">The two ‘streams’ of qualifications are necessary in the pulp and paper manufacturing industry. Some mills are pulp mills, some are paper mills, </w:t>
      </w:r>
      <w:r w:rsidRPr="00220DAC">
        <w:t>and some are both. The delineation between the two groupings of qualifications enables companies to clearly differentiate between the groupings of competencies based on the mills’ operations.</w:t>
      </w:r>
    </w:p>
    <w:p w:rsidR="00000000" w:rsidRPr="00220DAC" w:rsidRDefault="00BD4694" w:rsidP="00220DAC">
      <w:pPr>
        <w:pStyle w:val="BodyText"/>
      </w:pPr>
    </w:p>
    <w:p w:rsidR="00000000" w:rsidRPr="00220DAC" w:rsidRDefault="00BD4694" w:rsidP="00220DAC">
      <w:pPr>
        <w:pStyle w:val="Heading3"/>
      </w:pPr>
      <w:r w:rsidRPr="00220DAC">
        <w:t>New FPP10 V.1. units</w:t>
      </w:r>
    </w:p>
    <w:p w:rsidR="00000000" w:rsidRPr="00220DAC" w:rsidRDefault="00BD4694" w:rsidP="00220DAC">
      <w:pPr>
        <w:pStyle w:val="ListBullet"/>
      </w:pPr>
      <w:r w:rsidRPr="00220DAC">
        <w:t>FPPSUS210A Apply sustainable work practices/policies, packaged at Certificates II, III and IV</w:t>
      </w:r>
    </w:p>
    <w:p w:rsidR="00000000" w:rsidRPr="00220DAC" w:rsidRDefault="00BD4694" w:rsidP="00220DAC">
      <w:pPr>
        <w:pStyle w:val="ListBullet"/>
      </w:pPr>
      <w:r w:rsidRPr="00220DAC">
        <w:t xml:space="preserve">FPPSUS510A Develop workplace policy and procedures for sustainability, at Diploma level </w:t>
      </w:r>
    </w:p>
    <w:p w:rsidR="00000000" w:rsidRPr="00220DAC" w:rsidRDefault="00BD4694" w:rsidP="00220DAC">
      <w:pPr>
        <w:pStyle w:val="BodyText"/>
      </w:pPr>
    </w:p>
    <w:p w:rsidR="00000000" w:rsidRPr="00220DAC" w:rsidRDefault="00BD4694" w:rsidP="00220DAC">
      <w:pPr>
        <w:pStyle w:val="Heading3"/>
      </w:pPr>
      <w:r w:rsidRPr="00220DAC">
        <w:t>Imported units as electives</w:t>
      </w:r>
    </w:p>
    <w:p w:rsidR="00000000" w:rsidRPr="00220DAC" w:rsidRDefault="00BD4694" w:rsidP="00220DAC">
      <w:pPr>
        <w:pStyle w:val="ListBullet"/>
      </w:pPr>
      <w:r w:rsidRPr="00220DAC">
        <w:t>MSACMT271A Use sustainable environmental pr</w:t>
      </w:r>
      <w:r w:rsidRPr="00220DAC">
        <w:t>actices</w:t>
      </w:r>
    </w:p>
    <w:p w:rsidR="00000000" w:rsidRPr="00220DAC" w:rsidRDefault="00BD4694" w:rsidP="00220DAC">
      <w:pPr>
        <w:pStyle w:val="ListBullet"/>
      </w:pPr>
      <w:r w:rsidRPr="00220DAC">
        <w:t>MSACMT270A Use sustainable energy practices</w:t>
      </w:r>
    </w:p>
    <w:p w:rsidR="00000000" w:rsidRPr="00220DAC" w:rsidRDefault="00BD4694" w:rsidP="00220DAC">
      <w:pPr>
        <w:pStyle w:val="ListBullet"/>
      </w:pPr>
      <w:r w:rsidRPr="00220DAC">
        <w:t>MSAENV472B Implement and monitor environmentally sustainable work practices</w:t>
      </w:r>
    </w:p>
    <w:p w:rsidR="00000000" w:rsidRPr="00220DAC" w:rsidRDefault="00BD4694" w:rsidP="00220DAC">
      <w:pPr>
        <w:pStyle w:val="BodyText"/>
      </w:pPr>
    </w:p>
    <w:p w:rsidR="00000000" w:rsidRPr="00220DAC" w:rsidRDefault="00BD4694" w:rsidP="00220DAC">
      <w:pPr>
        <w:pStyle w:val="Heading3"/>
      </w:pPr>
      <w:r w:rsidRPr="00220DAC">
        <w:t>Code changes</w:t>
      </w:r>
    </w:p>
    <w:p w:rsidR="00000000" w:rsidRPr="00220DAC" w:rsidRDefault="00BD4694" w:rsidP="00220DAC">
      <w:pPr>
        <w:pStyle w:val="BodyText"/>
      </w:pPr>
      <w:r w:rsidRPr="00220DAC">
        <w:t>Within each Training Package, each unit of competency has a unique code. Unit of competency codes are assigned when the Training Package is endorsed, or when new units of competency are added to an existing endorsed Training Package. Unit codes are develop</w:t>
      </w:r>
      <w:r w:rsidRPr="00220DAC">
        <w:t>ed as follows:</w:t>
      </w:r>
    </w:p>
    <w:p w:rsidR="00000000" w:rsidRPr="00220DAC" w:rsidRDefault="00BD4694" w:rsidP="00220DAC">
      <w:pPr>
        <w:pStyle w:val="ListBullet2"/>
      </w:pPr>
      <w:r w:rsidRPr="00220DAC">
        <w:t>a typical code is made up of 10 characters, normally a mixture of uppercase letters and numbers, as in FPPNUM210A</w:t>
      </w:r>
    </w:p>
    <w:p w:rsidR="00000000" w:rsidRPr="00220DAC" w:rsidRDefault="00BD4694" w:rsidP="00220DAC">
      <w:pPr>
        <w:pStyle w:val="ListBullet2"/>
      </w:pPr>
      <w:r w:rsidRPr="00220DAC">
        <w:t>the first three characters signify the Training Package - FPP Pulp and Paper Manufacturing Industry Training Package in the ab</w:t>
      </w:r>
      <w:r w:rsidRPr="00220DAC">
        <w:t xml:space="preserve">ove example </w:t>
      </w:r>
    </w:p>
    <w:p w:rsidR="00000000" w:rsidRPr="00220DAC" w:rsidRDefault="00BD4694" w:rsidP="00220DAC">
      <w:pPr>
        <w:pStyle w:val="ListBullet2"/>
      </w:pPr>
      <w:r w:rsidRPr="00220DAC">
        <w:t>the next three characters indicate an industry skill area - ‘numeracy’ in the above example</w:t>
      </w:r>
    </w:p>
    <w:p w:rsidR="00000000" w:rsidRPr="00220DAC" w:rsidRDefault="00BD4694" w:rsidP="00220DAC">
      <w:pPr>
        <w:pStyle w:val="ListBullet2"/>
      </w:pPr>
      <w:r w:rsidRPr="00220DAC">
        <w:t>the first numeric character indicates the AQF level where the unit of competency ‘first appears’ - Certificate II level in the above example</w:t>
      </w:r>
    </w:p>
    <w:p w:rsidR="00000000" w:rsidRPr="00220DAC" w:rsidRDefault="00BD4694" w:rsidP="00220DAC">
      <w:pPr>
        <w:pStyle w:val="ListBullet2"/>
      </w:pPr>
      <w:r w:rsidRPr="00220DAC">
        <w:t>the follow</w:t>
      </w:r>
      <w:r w:rsidRPr="00220DAC">
        <w:t>ing two numeric characters identify the position in the sequence of the unit for that stream</w:t>
      </w:r>
    </w:p>
    <w:p w:rsidR="00000000" w:rsidRPr="00220DAC" w:rsidRDefault="00BD4694" w:rsidP="00220DAC">
      <w:pPr>
        <w:pStyle w:val="ListBullet2"/>
      </w:pPr>
      <w:r w:rsidRPr="00220DAC">
        <w:t>the last character is always a letter and identifies the unit of competency version. An ‘A’ at the end of the code indicates that this is the original unit of comp</w:t>
      </w:r>
      <w:r w:rsidRPr="00220DAC">
        <w:t>etency. All units within this new Training Package are coded ‘A’</w:t>
      </w:r>
    </w:p>
    <w:p w:rsidR="00000000" w:rsidRPr="00220DAC" w:rsidRDefault="00BD4694" w:rsidP="00220DAC">
      <w:pPr>
        <w:pStyle w:val="BodyText"/>
      </w:pPr>
      <w:r w:rsidRPr="00220DAC">
        <w:t>The upper case letters in the code for Pulp and Paper Units of Competency correspond to the industry skill area as follows:</w:t>
      </w:r>
    </w:p>
    <w:tbl>
      <w:tblPr>
        <w:tblW w:w="0" w:type="auto"/>
        <w:tblLayout w:type="fixed"/>
        <w:tblCellMar>
          <w:left w:w="62" w:type="dxa"/>
          <w:right w:w="62" w:type="dxa"/>
        </w:tblCellMar>
        <w:tblLook w:val="0000" w:firstRow="0" w:lastRow="0" w:firstColumn="0" w:lastColumn="0" w:noHBand="0" w:noVBand="0"/>
      </w:tblPr>
      <w:tblGrid>
        <w:gridCol w:w="1276"/>
        <w:gridCol w:w="6662"/>
      </w:tblGrid>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CPP</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Coated paper processes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CPR</w:t>
            </w:r>
          </w:p>
        </w:tc>
        <w:tc>
          <w:tcPr>
            <w:tcW w:w="6662" w:type="dxa"/>
            <w:tcBorders>
              <w:top w:val="nil"/>
              <w:left w:val="nil"/>
              <w:bottom w:val="nil"/>
              <w:right w:val="nil"/>
            </w:tcBorders>
            <w:tcMar>
              <w:top w:w="0" w:type="dxa"/>
              <w:left w:w="62" w:type="dxa"/>
              <w:bottom w:w="0" w:type="dxa"/>
              <w:right w:w="62" w:type="dxa"/>
            </w:tcMar>
            <w:vAlign w:val="center"/>
          </w:tcPr>
          <w:p w:rsidR="00000000" w:rsidRPr="00220DAC" w:rsidRDefault="00BD4694" w:rsidP="00220DAC">
            <w:pPr>
              <w:pStyle w:val="BodyText"/>
            </w:pPr>
            <w:r w:rsidRPr="00220DAC">
              <w:t>Chemical preparation</w:t>
            </w:r>
          </w:p>
          <w:p w:rsidR="00000000" w:rsidRPr="00220DAC" w:rsidRDefault="00BD4694" w:rsidP="00220DAC">
            <w:pPr>
              <w:pStyle w:val="BodyText"/>
            </w:pPr>
          </w:p>
          <w:p w:rsidR="00000000" w:rsidRDefault="00BD4694" w:rsidP="00220DAC">
            <w:pPr>
              <w:pStyle w:val="BodyText"/>
              <w:rPr>
                <w:lang w:val="en-NZ"/>
              </w:rPr>
            </w:pP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lastRenderedPageBreak/>
              <w:t>FPP</w:t>
            </w:r>
            <w:r w:rsidRPr="00220DAC">
              <w:rPr>
                <w:rStyle w:val="SpecialBold"/>
              </w:rPr>
              <w:t>CSK</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Computer skills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DEO</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Dry end operations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ENV</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Environmental monitoring</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EPG</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Electrical power generation</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FCO</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Finishing and converting</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HWP</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Handling and preparing waste paper for pulp production</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MHV</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 xml:space="preserve">Materials handling vehicles </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NUM</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Numeracy</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OHS</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Occupational health and safety</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PLN</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Planning and organising</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PRM</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Preventative maintenance</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PRS</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Problem solving</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PRV</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Production variations/operations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PUL</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Pulping operations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QAS</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Quality assurance</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REC</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Chemical recovery operations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REL</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Relationship management</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RES</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Primary resource operations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SPR</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Stock preparation operations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STM</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Steam generation</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SUS</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Sustainability</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WAR</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Warehousing and dispatch</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WAS</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Water services</w:t>
            </w:r>
          </w:p>
        </w:tc>
      </w:tr>
      <w:tr w:rsidR="00000000"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FPP</w:t>
            </w:r>
            <w:r w:rsidRPr="00220DAC">
              <w:rPr>
                <w:rStyle w:val="SpecialBold"/>
              </w:rPr>
              <w:t>WEO</w:t>
            </w:r>
          </w:p>
        </w:tc>
        <w:tc>
          <w:tcPr>
            <w:tcW w:w="666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Wet end operations</w:t>
            </w:r>
          </w:p>
        </w:tc>
      </w:tr>
      <w:tr w:rsidR="00000000" w:rsidRPr="00220DAC" w:rsidTr="00220DAC">
        <w:tc>
          <w:tcPr>
            <w:tcW w:w="1276"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lastRenderedPageBreak/>
              <w:t>FPP</w:t>
            </w:r>
            <w:r w:rsidRPr="00220DAC">
              <w:rPr>
                <w:rStyle w:val="SpecialBold"/>
              </w:rPr>
              <w:t>WPO</w:t>
            </w:r>
          </w:p>
        </w:tc>
        <w:tc>
          <w:tcPr>
            <w:tcW w:w="6662" w:type="dxa"/>
            <w:tcBorders>
              <w:top w:val="nil"/>
              <w:left w:val="nil"/>
              <w:bottom w:val="nil"/>
              <w:right w:val="nil"/>
            </w:tcBorders>
            <w:tcMar>
              <w:top w:w="0" w:type="dxa"/>
              <w:left w:w="62" w:type="dxa"/>
              <w:bottom w:w="0" w:type="dxa"/>
              <w:right w:w="62" w:type="dxa"/>
            </w:tcMar>
            <w:vAlign w:val="center"/>
          </w:tcPr>
          <w:p w:rsidR="00000000" w:rsidRPr="00220DAC" w:rsidRDefault="00BD4694" w:rsidP="00220DAC">
            <w:pPr>
              <w:pStyle w:val="BodyText"/>
            </w:pPr>
            <w:r w:rsidRPr="00220DAC">
              <w:t>Waste paper operations</w:t>
            </w:r>
          </w:p>
        </w:tc>
      </w:tr>
    </w:tbl>
    <w:p w:rsidR="00000000" w:rsidRPr="00220DAC" w:rsidRDefault="00BD4694" w:rsidP="00220DAC">
      <w:pPr>
        <w:pStyle w:val="BodyText"/>
      </w:pPr>
    </w:p>
    <w:p w:rsidR="00000000" w:rsidRPr="00220DAC" w:rsidRDefault="00BD4694" w:rsidP="00220DAC">
      <w:pPr>
        <w:pStyle w:val="BodyText"/>
      </w:pPr>
    </w:p>
    <w:p w:rsidR="00000000" w:rsidRPr="00220DAC" w:rsidRDefault="00BD4694" w:rsidP="00220DAC">
      <w:pPr>
        <w:pStyle w:val="Heading1"/>
      </w:pPr>
      <w:r w:rsidRPr="00220DAC">
        <w:t>Mapping to Previous Training Package FPP01</w:t>
      </w:r>
    </w:p>
    <w:tbl>
      <w:tblPr>
        <w:tblW w:w="0" w:type="auto"/>
        <w:tblLayout w:type="fixed"/>
        <w:tblCellMar>
          <w:left w:w="62" w:type="dxa"/>
          <w:right w:w="62" w:type="dxa"/>
        </w:tblCellMar>
        <w:tblLook w:val="0000" w:firstRow="0" w:lastRow="0" w:firstColumn="0" w:lastColumn="0" w:noHBand="0" w:noVBand="0"/>
      </w:tblPr>
      <w:tblGrid>
        <w:gridCol w:w="1553"/>
        <w:gridCol w:w="2684"/>
        <w:gridCol w:w="2126"/>
        <w:gridCol w:w="500"/>
        <w:gridCol w:w="1843"/>
        <w:gridCol w:w="366"/>
      </w:tblGrid>
      <w:tr w:rsidR="00220DAC" w:rsidTr="00220DAC">
        <w:trPr>
          <w:trHeight w:val="347"/>
          <w:tblHeader/>
        </w:trPr>
        <w:tc>
          <w:tcPr>
            <w:tcW w:w="4237" w:type="dxa"/>
            <w:gridSpan w:val="2"/>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Pr="00220DAC" w:rsidRDefault="00BD4694" w:rsidP="00220DAC">
            <w:pPr>
              <w:pStyle w:val="BodyText"/>
            </w:pPr>
            <w:r w:rsidRPr="00220DAC">
              <w:rPr>
                <w:rStyle w:val="SpecialBold"/>
              </w:rPr>
              <w:t>Updated unit code and title FPP10</w:t>
            </w:r>
          </w:p>
        </w:tc>
        <w:tc>
          <w:tcPr>
            <w:tcW w:w="2626" w:type="dxa"/>
            <w:gridSpan w:val="2"/>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Pr="00220DAC" w:rsidRDefault="00BD4694" w:rsidP="00220DAC">
            <w:pPr>
              <w:pStyle w:val="BodyText"/>
            </w:pPr>
            <w:r w:rsidRPr="00220DAC">
              <w:rPr>
                <w:rStyle w:val="SpecialBold"/>
              </w:rPr>
              <w:t>Previous FPP01 unit</w:t>
            </w:r>
          </w:p>
        </w:tc>
        <w:tc>
          <w:tcPr>
            <w:tcW w:w="1843" w:type="dxa"/>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Default="00BD4694" w:rsidP="00220DAC">
            <w:pPr>
              <w:pStyle w:val="BodyText"/>
              <w:rPr>
                <w:lang w:val="en-NZ"/>
              </w:rPr>
            </w:pPr>
            <w:r w:rsidRPr="00220DAC">
              <w:rPr>
                <w:rStyle w:val="SpecialBold"/>
              </w:rPr>
              <w:t>Relationship to FPP01 unit</w:t>
            </w:r>
          </w:p>
        </w:tc>
        <w:tc>
          <w:tcPr>
            <w:tcW w:w="366" w:type="dxa"/>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FPPCPP210A Monitor and control coated paper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FPPOLC3A Monitor and Control Coated Paper Systems Operation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FPPOLC3A Monitor and Control Coated Paper Systems Operation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FPPCPP320A Prepare and start up coated paper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FPPOLC1B Prepare and Start-up Coated Paper Systems Operation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FPPOLC1B Prepare and Start-up Coated Paper Systems Operation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FPPCPP330A Co-ordinate the shutdown of coated paper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FPPOLC4A Co-ordinate Coated Paper Sy</w:t>
            </w:r>
            <w:r w:rsidRPr="00220DAC">
              <w:t>stems Shutdown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FPPOLC4A Co-ordinate Coated Paper Systems Shutdown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FPPCPP440A Troubleshoot and rectify coated paper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FPPOLC5A Troubleshoot and Rectify Coated Paper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FPPOLC5A</w:t>
            </w:r>
            <w:r w:rsidRPr="00220DAC">
              <w:t xml:space="preserve"> Troubleshoot and Rectify Coated Paper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FPPCPR210A Prepare chemical products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FPPCPR1A Prepare Chemicals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FPPCPR1A Prepare Chemicals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FPPCSK310A Operate process control equipment</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FPPCSK2B Operate a process control computer system</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FPPCSK2B Operate a process control computer system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FPPDEO210A Monitor and control dry end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FPPDEO3A Monitor and Control Dry End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FPPDEO3A Monitor and Control Dry End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FPPDEO320A Prepare and start up dry end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FPPDEO1B Prepare and Start-up Dry End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FPPDEO1B Prepare and Start-up Dry End</w:t>
            </w:r>
            <w:r w:rsidRPr="00220DAC">
              <w:t xml:space="preserve"> Operations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FPPDEO330A Co-ordinate and implement dry end shutdown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FPPDEO5A Co-ordinate and Implement Dry End Shutdown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FPPDEO5A Co-ordinate and Implement Dry End Shutdown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FPPDEO440A Troubleshoot and rectify dry end s</w:t>
            </w:r>
            <w:r w:rsidRPr="00220DAC">
              <w:t>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FPPDEO4A Troubleshoot and Rectify Dry End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FPPDEO4A Troubleshoot and Rectify Dry End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FPPENV210A Identify and monitor environmental discharges/emissions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FPPENV1A Identify and Monitor Environmental Discharges/Emissions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FPPENV1A Identify and Monitor Environmental Discharges/Emissions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FPPENV320A Monitor and control environmental hazards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FPPENV2A Monitor and Control Environm</w:t>
            </w:r>
            <w:r w:rsidRPr="00220DAC">
              <w:t>ental Hazards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FPPENV2A Monitor and Control Environmental Hazards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FPPEPG210A Monitor and control power generation system</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FPPEPG2A Monitor and Control Power Generation System</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FPPEPG2A Monitor and Control Power Generation System</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FPPEPG320A Manage a power generation system startup</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FPPEPG1A Manage a Power Generation System Start-up</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FPPEPG1A Manage a Power Generation System Start-up</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w:t>
            </w:r>
            <w:r w:rsidRPr="00220DAC">
              <w:t>G330A Co-ordinate power generation system shutdown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FPPEPG3A Co-ordinate Power Generation System Shutdown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FPPEPG3A Co-ordinate Power Generation System Shutdown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FPPEPG440A Troubleshoot and rectify power generation system</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FPPEPG5A Troubleshoot and Rectify Power Generation System</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FPPEPG5A Troubleshoot and Rectify Power Generation System</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FPPFCO210A Monitor, control and shut down finishing and converting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FPPFCO2A Monitor and Contr</w:t>
            </w:r>
            <w:r w:rsidRPr="00220DAC">
              <w:t>ol Finishing/Converting Systems Operation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w:t>
            </w:r>
            <w:r w:rsidRPr="00220DAC">
              <w:t xml:space="preserve"> </w:t>
            </w:r>
            <w:r w:rsidRPr="00220DAC">
              <w:rPr>
                <w:rStyle w:val="SpecialBold"/>
              </w:rPr>
              <w:t>equivalent</w:t>
            </w:r>
            <w:r w:rsidRPr="00220DAC">
              <w:t xml:space="preserve"> to FPPFCO2A Monitor and Control Finishing/Converting Systems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FPPFCO320A Prepare and start up finishing/converting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FPPFCO1A Prepare Finishing/Converting Sys</w:t>
            </w:r>
            <w:r w:rsidRPr="00220DAC">
              <w:t>tems for Production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w:t>
            </w:r>
            <w:r w:rsidRPr="00220DAC">
              <w:t xml:space="preserve"> </w:t>
            </w:r>
            <w:r w:rsidRPr="00220DAC">
              <w:rPr>
                <w:rStyle w:val="SpecialBold"/>
              </w:rPr>
              <w:t>equivalent</w:t>
            </w:r>
            <w:r w:rsidRPr="00220DAC">
              <w:t xml:space="preserve"> to FPPFCO1A Prepare Finishing/Converting Systems for Production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FPPFCO340A Troubleshoot and rectify finishing and converting 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FPPFCO4A Troubleshoot and Rectify Finishing and Converting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FPPFCO4A Troubleshoot and Rectify Finishing and Converting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FPPHWP250A Store and dispatch waste </w:t>
            </w:r>
            <w:r w:rsidRPr="00220DAC">
              <w:lastRenderedPageBreak/>
              <w:t>paper</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FPPHWP6A Store and Despatch Blocks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FPPHWP6A Store and </w:t>
            </w:r>
            <w:r w:rsidRPr="00220DAC">
              <w:lastRenderedPageBreak/>
              <w:t>Despatch Blocks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FPPHWP260A Receive waste paper</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FPPHWP1A Receive Waste Paper</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FPPHWP1A Receive Waste Paper</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FPPHWP270A Unload waste paper</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FPPHWP2A Unload Waste Paper</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FPPHWP2A Unload Waste Paper</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FPPMHV210</w:t>
            </w:r>
            <w:r w:rsidRPr="00220DAC">
              <w:t>A Operate overhead crane</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FPPMHV2A Operate Overhead Crane</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FPPMHV2A Operate Overhead Crane</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FPPNUM210A Estimate and calculate basic data</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FPPNUM1A Estimate and Calculate Basic Data</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FPPNUM1A Estimate and Calculate Basic Data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FPPNUM320A Measure and calculate routine workplace data</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FPPNUM430A Calculate and analyse production and financial performance</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FPPNUM4A Calculate and Analyse Producti</w:t>
            </w:r>
            <w:r w:rsidRPr="00220DAC">
              <w:t>on and Financial Performance</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220DAC" w:rsidRDefault="00BD4694" w:rsidP="00220DAC">
            <w:pPr>
              <w:pStyle w:val="BodyText"/>
            </w:pPr>
            <w:r w:rsidRPr="00220DAC">
              <w:t xml:space="preserve">Unit updated and </w:t>
            </w:r>
            <w:r w:rsidRPr="00220DAC">
              <w:rPr>
                <w:rStyle w:val="SpecialBold"/>
              </w:rPr>
              <w:t>equivalent</w:t>
            </w:r>
            <w:r w:rsidRPr="00220DAC">
              <w:t xml:space="preserve"> to FPPNUM4A Calculate and Analyse Production and Financial Performance</w:t>
            </w:r>
          </w:p>
          <w:p w:rsidR="00000000" w:rsidRDefault="00BD4694">
            <w:pPr>
              <w:pStyle w:val="BodyText"/>
              <w:keepNext w:val="0"/>
              <w:keepLines w:val="0"/>
              <w:contextualSpacing w:val="0"/>
              <w:rPr>
                <w:rFonts w:ascii="Tahoma" w:hAnsi="Tahoma"/>
                <w:color w:val="000000"/>
                <w:sz w:val="20"/>
                <w:lang w:val="en-NZ"/>
              </w:rPr>
            </w:pP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FPPOHS210A Participate in OHS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FPPOHS310A Contribute to OHS </w:t>
            </w:r>
            <w:r w:rsidRPr="00220DAC">
              <w:lastRenderedPageBreak/>
              <w:t xml:space="preserve">processes </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FPPOHS320A Maintain OHS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FPPOHS410A Identify, assess and control OHS risk in own work</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FPPOHS420A Manage OHS 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FPPPLN210A Plan and undertake a routine task</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FPPPLN1A Plan and Undertake a Routine Task</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FPPPLN1A Plan and Undertake a Routine Task</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FPPPLN420A Plan a complex activity</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FPPPLN3A Plan a Complex Activity</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FPPPLN3A Plan a Complex Activity</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FPPPRM210A Undertake operator level preventative maintenance</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FPPPRM1B Operator Level Preventative Maintenance</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FPPPRM1B Operator Level Preventative Maintenance</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FPPPRM220A Perform lubrication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FPPPRS210A Identify and rectify problems in the workplace</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FPPPRS1A Solve Problems in the Workplace (basic)</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w:t>
            </w:r>
            <w:r w:rsidRPr="00220DAC">
              <w:rPr>
                <w:rStyle w:val="SpecialBold"/>
              </w:rPr>
              <w:t>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FPPPRS320A Solve </w:t>
            </w:r>
            <w:r w:rsidRPr="00220DAC">
              <w:lastRenderedPageBreak/>
              <w:t>systemic problems in the workplace</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FPPPRS2A Solve Problems in the Workplace (advanced)</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FPPPRV210A Operate ancillary equipment</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FPPPRV320A Co-ordinate and direct clothing changes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FPPPUL210A Monitor and control pulping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FPPPUL3A Monitor and Control Pulping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FPPPUL3A Monitor and Control Pulping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FPPPUL250A Store and distribute pulped product</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FPPPUL6A Store and Distribute Pulped Product</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FPPPUL6A Store and Distribute Pulped Product</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FPPPUL320A Prepare and star</w:t>
            </w:r>
            <w:r w:rsidRPr="00220DAC">
              <w:t>t up pulping system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FPPPUL1B Prepare and Start-up Pulping System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FPPPUL1B Prepare and Start-up Pulping System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FPPPUL330A Co-ordinate and implement pulping plant shutdowns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FPPPUL5A Co-ordinate and Implement Pulping Plant Shutdowns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FPPPUL5A Co-ordinate and Implement Pulping Plant Shutdowns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FPPPUL440A Troubleshoot and rectify pulping </w:t>
            </w:r>
            <w:r w:rsidRPr="00220DAC">
              <w:lastRenderedPageBreak/>
              <w:t>processes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FPPPUL4A Troubleshoot and Rectify Pulping System</w:t>
            </w:r>
            <w:r w:rsidRPr="00220DAC">
              <w:t>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FPPPUL4A Troubleshoot and Rectify Pulping </w:t>
            </w:r>
            <w:r w:rsidRPr="00220DAC">
              <w:lastRenderedPageBreak/>
              <w:t>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FPPQAS210A Apply basic quality practices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FPPQAS1B Apply Basic Quality Assurance Practices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FPPQAS1B Apply Basic Quality Assurance </w:t>
            </w:r>
            <w:r w:rsidRPr="00220DAC">
              <w:t>Practices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FPPQAS420A Co-ordinate in-process quality assurance</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FPPQAS3A Co-ordinate In-Process Quality Assurance</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FPPQAS3A Co-ordinate In-Process Quality Assurance</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FPPQAS430A Oversee quality assurance process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FPPQAS4A </w:t>
            </w:r>
            <w:r w:rsidRPr="00220DAC">
              <w:t>Oversee Quality Assurance Process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FPPQAS4A Oversee Quality Assurance Process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FPPREC210A Monitor and control chemical recovery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FPPREC3A Monitor and Optimise Chemical Recovery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FPPREC3A Monitor and Optimise Chemical Recovery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FPPREC320A Prepare and start up chemical recovery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FPPREC1B Prepare and Start-up Chemical Recovery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FPPREC1B Prepare and St</w:t>
            </w:r>
            <w:r w:rsidRPr="00220DAC">
              <w:t>art-up Chemical Recovery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FPPREC330A Co-ordinate and implement chemical recovery shutdowns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FPPREC5A Manage Chemical Recovery Plant Shutdowns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FPPREC5A Manage Chemical Recovery Plant Shutdowns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FPPREC440A Troubleshoot and rectify </w:t>
            </w:r>
            <w:r w:rsidRPr="00220DAC">
              <w:lastRenderedPageBreak/>
              <w:t>chemical recovery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FPPREC4A Troubleshoot and Rectify Chemical Recovery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FPPREC4A </w:t>
            </w:r>
            <w:r w:rsidRPr="00220DAC">
              <w:lastRenderedPageBreak/>
              <w:t>Troubleshoot and Rectify Chemical Recovery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 xml:space="preserve">FPPREL210A Contribute to effective </w:t>
            </w:r>
            <w:r w:rsidRPr="00220DAC">
              <w:t>working relationships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FPPRES210A Prepare and operate the woodchip production system</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FPPRES5A Operate the Woodchip Production System</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FPPRES5A Operate the Woodchip Production System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FPPRES250A Distribute woodchips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FPPRES8A Distribute Woodchips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FPPRES8A Distribute Woodchips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FPPRES260A Receive Materials </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FPPRES1A Receive Materials </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FPPRES1A Receive Materials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t>
            </w:r>
            <w:r w:rsidRPr="00220DAC">
              <w:t>RES270A Unload Materials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FPPRES2A Unload Materials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FPPRES2A Unload Materials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FPPRES340A Troubleshoot and rectify primary resource operations </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FPPRES9A Troubleshoot and Rectify Resource Handling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FPPRES9A Troubleshoot and Rectify Resource Handling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FPPSPR210A Monitor and control stock preparation 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FPPSPR3A Monitor and Control Stock and Chemical Preparation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FPPSPR3A Moni</w:t>
            </w:r>
            <w:r w:rsidRPr="00220DAC">
              <w:t>tor and Control Stock and Chemical Preparation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FPPSPR320A Prepare and start up stock preparation system for production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FPPSPR1B Prepare and Start-up Stock &amp; Chemical System for Production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FPPSPR1B Prepare and Start-up Stock &amp; Chemical System for Production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FPPSPR330A Co-ordinate and implement stock preparation system shutdown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FPPSPR5A Co-ordinate and Implement Stock and Chemical Preparation System Shutdown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w:t>
            </w:r>
            <w:r w:rsidRPr="00220DAC">
              <w:rPr>
                <w:rStyle w:val="SpecialBold"/>
              </w:rPr>
              <w:t>nt</w:t>
            </w:r>
            <w:r w:rsidRPr="00220DAC">
              <w:t xml:space="preserve"> to FPPSPR5A Co-ordinate and Implement Stock and Chemical Preparation System Shutdown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FPPSPR440A Troubleshoot and rectify stock preparation 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FPPSPR4A Troubleshoot and Rectify Stock and Chemical Preparation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w:t>
            </w:r>
            <w:r w:rsidRPr="00220DAC">
              <w:rPr>
                <w:rStyle w:val="SpecialBold"/>
              </w:rPr>
              <w:t>ent</w:t>
            </w:r>
            <w:r w:rsidRPr="00220DAC">
              <w:t xml:space="preserve"> to FPPSPR4A Troubleshoot and Rectify Stock and Chemical Preparation Systems.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FPPSTM210A Monitor and control boiler operation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FPPSTM2A Monitor and Control Boiler Operation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FPPSTM2A Monitor and Control Boiler Operation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FPPSTM320A Manage steam boiler startup</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FPPSTM1A Manage Steam Boiler Start-up</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FPPSTM1A Manage Steam Boiler Start-up</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FPPSTM330A Shut down and bank steam boiler</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FPPSTM3A</w:t>
            </w:r>
            <w:r w:rsidRPr="00220DAC">
              <w:t xml:space="preserve"> Shutdown and Store Steam Boiler</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FPPSTM3A Shutdown and Store Steam Boiler</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FPPSTM440A Troubleshoot and rectify boiler plant </w:t>
            </w:r>
            <w:r w:rsidRPr="00220DAC">
              <w:lastRenderedPageBreak/>
              <w:t>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FPPSTM4A Troubleshoot and Rectify Boiler Plant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FPPSTM4A Troubleshoot and </w:t>
            </w:r>
            <w:r w:rsidRPr="00220DAC">
              <w:lastRenderedPageBreak/>
              <w:t xml:space="preserve">Rectify Boiler Plant Systems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FPPSUS210A Apply sustainable work practices/policies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FPPSUS510A Develop workplace policy and procedures for sustainability</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New unit - </w:t>
            </w:r>
            <w:r w:rsidRPr="00220DAC">
              <w:rPr>
                <w:rStyle w:val="SpecialBold"/>
              </w:rPr>
              <w:t>no equivalent</w:t>
            </w:r>
            <w:r w:rsidRPr="00220DAC">
              <w:t xml:space="preserve"> in FPP01</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FPPWAR250A Store product</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FPPFCO5B Store Product</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equivalent</w:t>
            </w:r>
            <w:r w:rsidRPr="00220DAC">
              <w:t xml:space="preserve"> to FPPFCO5B Store Product</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FPPWAR255A Prepare and dispatch product</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FPPFCO6B Prepare and Dispatch Product</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w:t>
            </w:r>
            <w:r w:rsidRPr="00220DAC">
              <w:t xml:space="preserve"> </w:t>
            </w:r>
            <w:r w:rsidRPr="00220DAC">
              <w:rPr>
                <w:rStyle w:val="SpecialBold"/>
              </w:rPr>
              <w:t>equivalent</w:t>
            </w:r>
            <w:r w:rsidRPr="00220DAC">
              <w:t xml:space="preserve"> to FPPFCO6B Prepare and D</w:t>
            </w:r>
            <w:r w:rsidRPr="00220DAC">
              <w:t xml:space="preserve">ispatch Product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FPPWAR280A Warehouse product packaging</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FPPFCO3B Package Product</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FPPFCO3B Package Product </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FPPWAS210A Operate water 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FPPWAS1A Manage Water System Start-up</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 equivalent</w:t>
            </w:r>
            <w:r w:rsidRPr="00220DAC">
              <w:t xml:space="preserve"> to FPPWAS1A Manage Water System Start-up</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FPPWAS340A Troubleshoot and rectify water 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FPPWAS9ATroubleshoot and Rectify Water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to FPPWAS9ATroubleshoot and Rectify Water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FPPWEO210A Monitor and control wet </w:t>
            </w:r>
            <w:r w:rsidRPr="00220DAC">
              <w:lastRenderedPageBreak/>
              <w:t>end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FPPWEO3A Monitor and Control Wet End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w:t>
            </w:r>
            <w:r w:rsidRPr="00220DAC">
              <w:t xml:space="preserve"> </w:t>
            </w:r>
            <w:r w:rsidRPr="00220DAC">
              <w:rPr>
                <w:rStyle w:val="SpecialBold"/>
              </w:rPr>
              <w:t>equivalent</w:t>
            </w:r>
            <w:r w:rsidRPr="00220DAC">
              <w:t xml:space="preserve"> to FPPWEO3A Monitor </w:t>
            </w:r>
            <w:r w:rsidRPr="00220DAC">
              <w:lastRenderedPageBreak/>
              <w:t>and Control Wet End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FPPWEO320A Prepare and start up wet end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FPPWEO1B Prepare an</w:t>
            </w:r>
            <w:r w:rsidRPr="00220DAC">
              <w:t>d Start-up Wet End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to FPPWEO1B Prepare and Start-up Wet End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FPPWEO330A Co-ordinate and implement wet end shutdown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FPPWEO5A Co-ordinate and Implement Wet End Shutdown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to FPPWEO5A Co-ordinate and Implement Wet End Shutdown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FPPWEO440A Troubleshoot and rectify wet end systems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FPPWEO4A Troubleshoot and Rectify Wet End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but </w:t>
            </w:r>
            <w:r w:rsidRPr="00220DAC">
              <w:rPr>
                <w:rStyle w:val="SpecialBold"/>
              </w:rPr>
              <w:t>not</w:t>
            </w:r>
            <w:r w:rsidRPr="00220DAC">
              <w:t xml:space="preserve"> </w:t>
            </w:r>
            <w:r w:rsidRPr="00220DAC">
              <w:rPr>
                <w:rStyle w:val="SpecialBold"/>
              </w:rPr>
              <w:t>equivalent</w:t>
            </w:r>
            <w:r w:rsidRPr="00220DAC">
              <w:t xml:space="preserve"> to FPPWEO4A Troubleshoot and Rectify Wet End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N</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FPPWP</w:t>
            </w:r>
            <w:r w:rsidRPr="00220DAC">
              <w:t>O210A Monitor and control waste paper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FPPWPO3A Monitor and Control Waste Paper Plant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to FPPWPO3A Monitor and Control Waste Paper Plant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FPPWPO320A Prepare and start up waste paper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FPPWPO1B Prepare and Start-up Waste Paper Operations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to FPPWPO1B Prepare and Start-up Waste Paper Operations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FPPWPO330A Co-ordinate and implement waste paper shutdown</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FPPWPO5A Co-ordinate and Implement Waste Paper Plant Shu</w:t>
            </w:r>
            <w:r w:rsidRPr="00220DAC">
              <w:t>tdown</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to FPPWPO5A Co-ordinate and Implement Waste Paper Plant Shutdown</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E</w:t>
            </w:r>
          </w:p>
        </w:tc>
      </w:tr>
      <w:tr w:rsidR="00220DAC" w:rsidRPr="00220DAC" w:rsidTr="00220DAC">
        <w:tc>
          <w:tcPr>
            <w:tcW w:w="1553"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FPPWPO440A Troubleshoot and rectify </w:t>
            </w:r>
            <w:r w:rsidRPr="00220DAC">
              <w:lastRenderedPageBreak/>
              <w:t>waste paper operations</w:t>
            </w:r>
          </w:p>
        </w:tc>
        <w:tc>
          <w:tcPr>
            <w:tcW w:w="4810"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lastRenderedPageBreak/>
              <w:t>FPPWPO4A Troubleshoot and Rectify Waste Paper Plant Systems</w:t>
            </w:r>
          </w:p>
        </w:tc>
        <w:tc>
          <w:tcPr>
            <w:tcW w:w="2343" w:type="dxa"/>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updated and </w:t>
            </w:r>
            <w:r w:rsidRPr="00220DAC">
              <w:rPr>
                <w:rStyle w:val="SpecialBold"/>
              </w:rPr>
              <w:t xml:space="preserve">equivalent </w:t>
            </w:r>
            <w:r w:rsidRPr="00220DAC">
              <w:t xml:space="preserve">to FPPWPO4A Troubleshoot and </w:t>
            </w:r>
            <w:r w:rsidRPr="00220DAC">
              <w:lastRenderedPageBreak/>
              <w:t>Rectify Waste Paper Plant Systems</w:t>
            </w:r>
          </w:p>
        </w:tc>
        <w:tc>
          <w:tcPr>
            <w:tcW w:w="366" w:type="dxa"/>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220DAC" w:rsidRDefault="00BD4694" w:rsidP="00220DAC">
            <w:pPr>
              <w:pStyle w:val="BodyText"/>
            </w:pPr>
            <w:r w:rsidRPr="00220DAC">
              <w:lastRenderedPageBreak/>
              <w:t>E</w:t>
            </w:r>
          </w:p>
        </w:tc>
      </w:tr>
    </w:tbl>
    <w:p w:rsidR="00000000" w:rsidRPr="00220DAC" w:rsidRDefault="00BD4694" w:rsidP="00220DAC">
      <w:pPr>
        <w:pStyle w:val="BodyText"/>
      </w:pPr>
    </w:p>
    <w:p w:rsidR="00000000" w:rsidRPr="00220DAC" w:rsidRDefault="00BD4694" w:rsidP="00220DAC">
      <w:pPr>
        <w:pStyle w:val="ListBullet"/>
      </w:pPr>
    </w:p>
    <w:p w:rsidR="00000000" w:rsidRPr="00220DAC" w:rsidRDefault="00BD4694" w:rsidP="00220DAC">
      <w:pPr>
        <w:pStyle w:val="ListBullet"/>
      </w:pPr>
    </w:p>
    <w:tbl>
      <w:tblPr>
        <w:tblW w:w="0" w:type="auto"/>
        <w:tblInd w:w="360" w:type="dxa"/>
        <w:tblCellMar>
          <w:left w:w="62" w:type="dxa"/>
          <w:right w:w="62" w:type="dxa"/>
        </w:tblCellMar>
        <w:tblLook w:val="0000" w:firstRow="0" w:lastRow="0" w:firstColumn="0" w:lastColumn="0" w:noHBand="0" w:noVBand="0"/>
      </w:tblPr>
      <w:tblGrid>
        <w:gridCol w:w="3355"/>
        <w:gridCol w:w="3048"/>
        <w:gridCol w:w="1635"/>
        <w:gridCol w:w="1635"/>
        <w:gridCol w:w="4343"/>
      </w:tblGrid>
      <w:tr w:rsidR="00220DAC" w:rsidRPr="00220DAC" w:rsidTr="00BD4694">
        <w:trPr>
          <w:trHeight w:val="347"/>
          <w:tblHeader/>
        </w:trPr>
        <w:tc>
          <w:tcPr>
            <w:tcW w:w="0" w:type="auto"/>
            <w:gridSpan w:val="2"/>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Pr="00220DAC" w:rsidRDefault="00BD4694" w:rsidP="00220DAC">
            <w:pPr>
              <w:pStyle w:val="BodyText"/>
            </w:pPr>
            <w:r w:rsidRPr="00220DAC">
              <w:rPr>
                <w:rStyle w:val="SpecialBold"/>
              </w:rPr>
              <w:t>Updated unit code and title FPP10</w:t>
            </w:r>
          </w:p>
        </w:tc>
        <w:tc>
          <w:tcPr>
            <w:tcW w:w="0" w:type="auto"/>
            <w:gridSpan w:val="2"/>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Pr="00220DAC" w:rsidRDefault="00BD4694" w:rsidP="00220DAC">
            <w:pPr>
              <w:pStyle w:val="BodyText"/>
            </w:pPr>
            <w:r w:rsidRPr="00220DAC">
              <w:rPr>
                <w:rStyle w:val="SpecialBold"/>
              </w:rPr>
              <w:t>Previous FPP01 unit</w:t>
            </w:r>
          </w:p>
        </w:tc>
        <w:tc>
          <w:tcPr>
            <w:tcW w:w="0" w:type="auto"/>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Default="00BD4694" w:rsidP="00220DAC">
            <w:pPr>
              <w:pStyle w:val="BodyText"/>
              <w:rPr>
                <w:lang w:val="en-NZ"/>
              </w:rPr>
            </w:pPr>
            <w:r w:rsidRPr="00220DAC">
              <w:rPr>
                <w:rStyle w:val="SpecialBold"/>
              </w:rPr>
              <w:t>Relationship to FPP01 unit</w:t>
            </w:r>
          </w:p>
        </w:tc>
      </w:tr>
      <w:tr w:rsidR="00220DAC" w:rsidTr="00BD4694">
        <w:trPr>
          <w:tblHeader/>
        </w:trPr>
        <w:tc>
          <w:tcPr>
            <w:tcW w:w="0" w:type="auto"/>
            <w:gridSpan w:val="5"/>
            <w:tcBorders>
              <w:top w:val="single" w:sz="4" w:space="0" w:color="D9D9D9"/>
              <w:left w:val="single" w:sz="4" w:space="0" w:color="D9D9D9"/>
              <w:bottom w:val="single" w:sz="4" w:space="0" w:color="D9D9D9"/>
              <w:right w:val="single" w:sz="4" w:space="0" w:color="D9D9D9"/>
            </w:tcBorders>
            <w:shd w:val="clear" w:color="auto" w:fill="D9D9D9"/>
            <w:tcMar>
              <w:top w:w="0" w:type="dxa"/>
              <w:left w:w="62" w:type="dxa"/>
              <w:bottom w:w="0" w:type="dxa"/>
              <w:right w:w="62" w:type="dxa"/>
            </w:tcMar>
          </w:tcPr>
          <w:p w:rsidR="00000000" w:rsidRDefault="00BD4694" w:rsidP="00220DAC">
            <w:pPr>
              <w:pStyle w:val="BodyText"/>
              <w:rPr>
                <w:lang w:val="en-NZ"/>
              </w:rPr>
            </w:pPr>
            <w:r w:rsidRPr="00220DAC">
              <w:rPr>
                <w:rStyle w:val="SpecialBold"/>
              </w:rPr>
              <w:t>Deleted FPP units</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FPPAID1A Apply Basic First Aid Techniques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HLTFA301B Apply first aid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FPPAID2A Administer First Aid Procedures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MSAPMOHS220A Provide initial first aid response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FPPCOM1A Use Basic Workplace Communication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BSBCMM101A Apply basic communication skills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FPPCOM2A Present Verbal and Written Workplace Information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BSBCMM201A Communicate in the workplace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FPPCOM3A Use Advanced Workplace Communicati</w:t>
            </w:r>
            <w:r w:rsidRPr="00220DAC">
              <w:t>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TLIE607D Collect, analyse and present workplace data and information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FPPCOM4A Engage in Complex Workplace Communication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TLIE607D Collect, analyse and present workplace data and information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FPPCSK1A Access and Modify Computer Records and Documents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MSAPMOPS212A Use enterprise computer or data systems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FPPEM</w:t>
            </w:r>
            <w:r w:rsidRPr="00220DAC">
              <w:t>E1A Prepare Equipment for an Emergency Response</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PMAOHS211B Prepare equipment for emergency response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FPPEME2B Respond to an Emergency Situation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replaced with MSAPMOHS110A Follow emergency response proced</w:t>
            </w:r>
            <w:r w:rsidRPr="00220DAC">
              <w:t xml:space="preserve">ures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FPPEPG4A Conduct a Technical Inspection of Power Generation Plant and Equipment</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FPPHTL1B Use Hand Held Tools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MEM18001C Use hand tools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FPPHWP3A Set Up and Operate Sorting/Pressing Line</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FPPHWP4A Manage System Shutdowns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incorporated into existing shutdown units</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FPPHWP5A Conduct Paper Grade Quality Assessments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FPPMHV1A Operate Materials Handling Vehicles and Equipment</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various TLI units imported to cover specialist areas</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FPPNUM2A Measure and Calculate Routine Information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content incorporated in FPPNUM210A Estimate and Calculate Basic Data</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FPPNUM3A Calculate basic performance measures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content incorporated in FPPNUM210A Estimate and calculate basic data</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FPPOHS1A Follow defined OH&amp;S pr</w:t>
            </w:r>
            <w:r w:rsidRPr="00220DAC">
              <w:t>ocedures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FPPOHS2B Implement and monitor OH&amp;S policies and procedures within the work area</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FPPOHS3B Maintain and evaluate OH&amp;S system</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FPPOHS4A Establish OH&amp;S system</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FPPPLN2A Plan a Complete Activity</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replaced with MEM14005A Plan a complete activity and MEM30020A Develop and manage a plan for a simple manufacturing related proje</w:t>
            </w:r>
            <w:r w:rsidRPr="00220DAC">
              <w:t xml:space="preserve">ct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FPPPRS3A Troubleshoot and Rectify Pulp and Paper Systems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FPPQAS2A Maintain Quality in Section/Sub-System</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replaced with MSACMT251A Apply quality standards </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FPPREC6A Store and Distribute Processed Chemicals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FPPRES3A Prepare Woodchip Line for production </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content incorporated in FPPRES210A Prepare and operate the woodchip production system</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FPPRES4A Prepare Logs for Chip Production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Unit deleted and content incorporated in FPPRES210A Prepare and operate the woodchip production system</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FPPRES6A Conduct Woodchip Quality Assessments</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 </w:t>
            </w:r>
            <w:r w:rsidRPr="00220DAC">
              <w:rPr>
                <w:rStyle w:val="SpecialBold"/>
              </w:rPr>
              <w:t>no equivalent</w:t>
            </w:r>
            <w:r w:rsidRPr="00220DAC">
              <w:t xml:space="preserve"> in FPP10</w:t>
            </w:r>
          </w:p>
        </w:tc>
      </w:tr>
      <w:tr w:rsid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FPPRES7A Co-ordinat</w:t>
            </w:r>
            <w:r w:rsidRPr="00220DAC">
              <w:t>e System Shutdown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 xml:space="preserve">Unit deleted and content incorporated in FPPRES210A </w:t>
            </w:r>
            <w:r w:rsidRPr="00220DAC">
              <w:lastRenderedPageBreak/>
              <w:t>Prepare and operate the woodchip production system</w:t>
            </w:r>
          </w:p>
        </w:tc>
      </w:tr>
      <w:tr w:rsidR="00220DAC" w:rsidRPr="00220DAC" w:rsidTr="00BD4694">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pPr>
              <w:pStyle w:val="BodyText"/>
              <w:keepNext w:val="0"/>
              <w:keepLines w:val="0"/>
              <w:contextualSpacing w:val="0"/>
              <w:rPr>
                <w:rFonts w:ascii="Tahoma" w:hAnsi="Tahoma"/>
                <w:color w:val="000000"/>
                <w:sz w:val="20"/>
                <w:lang w:val="en-NZ"/>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BD4694" w:rsidP="00220DAC">
            <w:pPr>
              <w:pStyle w:val="BodyText"/>
              <w:rPr>
                <w:lang w:val="en-NZ"/>
              </w:rPr>
            </w:pPr>
            <w:r w:rsidRPr="00220DAC">
              <w:t>FPPWAS8A Manage Water System Shutdown</w:t>
            </w: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220DAC" w:rsidRDefault="00BD4694" w:rsidP="00220DAC">
            <w:pPr>
              <w:pStyle w:val="BodyText"/>
            </w:pPr>
            <w:r w:rsidRPr="00220DAC">
              <w:t>Unit deleted and content incorporated in FPPWAS210A Operate water systems</w:t>
            </w:r>
          </w:p>
        </w:tc>
      </w:tr>
    </w:tbl>
    <w:p w:rsidR="00000000" w:rsidRPr="00220DAC" w:rsidRDefault="00BD4694" w:rsidP="00220DAC">
      <w:pPr>
        <w:pStyle w:val="BodyText"/>
      </w:pPr>
    </w:p>
    <w:p w:rsidR="00000000" w:rsidRPr="00220DAC" w:rsidRDefault="00BD4694" w:rsidP="00220DAC">
      <w:pPr>
        <w:pStyle w:val="AllowPageBreak"/>
      </w:pPr>
    </w:p>
    <w:p w:rsidR="00000000" w:rsidRPr="00220DAC" w:rsidRDefault="00BD4694" w:rsidP="00220DAC">
      <w:pPr>
        <w:pStyle w:val="SuperHeading"/>
      </w:pPr>
      <w:bookmarkStart w:id="4" w:name="O_515227"/>
      <w:bookmarkStart w:id="5" w:name="_Toc394059855"/>
      <w:bookmarkEnd w:id="4"/>
      <w:r w:rsidRPr="00220DAC">
        <w:lastRenderedPageBreak/>
        <w:t>Overview</w:t>
      </w:r>
      <w:bookmarkEnd w:id="5"/>
    </w:p>
    <w:p w:rsidR="00000000" w:rsidRPr="00220DAC" w:rsidRDefault="00BD4694" w:rsidP="00220DAC">
      <w:pPr>
        <w:pStyle w:val="Heading1"/>
      </w:pPr>
      <w:r w:rsidRPr="00220DAC">
        <w:t>Overview</w:t>
      </w:r>
    </w:p>
    <w:p w:rsidR="00000000" w:rsidRPr="00220DAC" w:rsidRDefault="00BD4694" w:rsidP="00220DAC">
      <w:pPr>
        <w:pStyle w:val="BodyText"/>
      </w:pPr>
    </w:p>
    <w:p w:rsidR="00000000" w:rsidRPr="00220DAC" w:rsidRDefault="00BD4694" w:rsidP="00220DAC">
      <w:pPr>
        <w:pStyle w:val="Heading2"/>
      </w:pPr>
      <w:r w:rsidRPr="00220DAC">
        <w:t xml:space="preserve">What is a Training Package? </w:t>
      </w:r>
    </w:p>
    <w:p w:rsidR="00000000" w:rsidRPr="00220DAC" w:rsidRDefault="00BD4694" w:rsidP="00220DAC">
      <w:pPr>
        <w:pStyle w:val="BodyText"/>
      </w:pPr>
      <w:r w:rsidRPr="00220DAC">
        <w:t>A Training Package is an integrated set of nationally endorsed competency standards, assessment guidelines and Australian Qualifications Framework (AQF) qualifications for a specific industry, industr</w:t>
      </w:r>
      <w:r w:rsidRPr="00220DAC">
        <w:t xml:space="preserve">y sector or enterprise. </w:t>
      </w:r>
    </w:p>
    <w:p w:rsidR="00000000" w:rsidRPr="00220DAC" w:rsidRDefault="00BD4694" w:rsidP="00220DAC">
      <w:pPr>
        <w:pStyle w:val="BodyText"/>
      </w:pPr>
      <w:r w:rsidRPr="00220DAC">
        <w:t xml:space="preserve">Each Training Package: </w:t>
      </w:r>
    </w:p>
    <w:p w:rsidR="00000000" w:rsidRPr="00220DAC" w:rsidRDefault="00BD4694" w:rsidP="00220DAC">
      <w:pPr>
        <w:pStyle w:val="ListBullet2"/>
      </w:pPr>
      <w:r w:rsidRPr="00220DAC">
        <w:t>provides a consistent and reliable set of components for training, recognising and assessing peoples skills, and may also have optional support materials</w:t>
      </w:r>
    </w:p>
    <w:p w:rsidR="00000000" w:rsidRPr="00220DAC" w:rsidRDefault="00BD4694" w:rsidP="00220DAC">
      <w:pPr>
        <w:pStyle w:val="ListBullet2"/>
      </w:pPr>
      <w:r w:rsidRPr="00220DAC">
        <w:t>enables nationally recognised qualifications to be awarded through direct assessment of workplace competencies</w:t>
      </w:r>
    </w:p>
    <w:p w:rsidR="00000000" w:rsidRPr="00220DAC" w:rsidRDefault="00BD4694" w:rsidP="00220DAC">
      <w:pPr>
        <w:pStyle w:val="ListBullet2"/>
      </w:pPr>
      <w:r w:rsidRPr="00220DAC">
        <w:t>encourages the development and delivery of flexible training which suits individual and industry requirements</w:t>
      </w:r>
    </w:p>
    <w:p w:rsidR="00000000" w:rsidRPr="00220DAC" w:rsidRDefault="00BD4694" w:rsidP="00220DAC">
      <w:pPr>
        <w:pStyle w:val="ListBullet2"/>
      </w:pPr>
      <w:r w:rsidRPr="00220DAC">
        <w:t xml:space="preserve">encourages learning and assessment </w:t>
      </w:r>
      <w:r w:rsidRPr="00220DAC">
        <w:t>in a work-related environment which leads to verifiable workplace outcomes.</w:t>
      </w:r>
    </w:p>
    <w:p w:rsidR="00000000" w:rsidRPr="00220DAC" w:rsidRDefault="00BD4694" w:rsidP="00220DAC">
      <w:pPr>
        <w:pStyle w:val="BodyText"/>
      </w:pPr>
      <w:r w:rsidRPr="00220DAC">
        <w:rPr>
          <w:rStyle w:val="SpecialBold"/>
        </w:rPr>
        <w:t>How do Training Packages fit within the National Skills Framework?</w:t>
      </w:r>
      <w:r w:rsidRPr="00220DAC">
        <w:t xml:space="preserve"> </w:t>
      </w:r>
    </w:p>
    <w:p w:rsidR="00000000" w:rsidRPr="00220DAC" w:rsidRDefault="00BD4694" w:rsidP="00220DAC">
      <w:pPr>
        <w:pStyle w:val="BodyText"/>
      </w:pPr>
      <w:r w:rsidRPr="00220DAC">
        <w:t>The National Skills Framework applies nationally, is endorsed by the Ministerial Council for Vocational and Tech</w:t>
      </w:r>
      <w:r w:rsidRPr="00220DAC">
        <w:t>nical Education, and comprises the Australian Quality Training Framework 2010 (AQTF 2010), and Training Packages endorsed by the National Quality Council (NQC).</w:t>
      </w:r>
    </w:p>
    <w:p w:rsidR="00000000" w:rsidRPr="00220DAC" w:rsidRDefault="00BD4694" w:rsidP="00220DAC">
      <w:pPr>
        <w:pStyle w:val="BodyText"/>
      </w:pPr>
      <w:r w:rsidRPr="00220DAC">
        <w:rPr>
          <w:rStyle w:val="SpecialBold"/>
        </w:rPr>
        <w:t>How are Training Packages developed?</w:t>
      </w:r>
      <w:r w:rsidRPr="00220DAC">
        <w:t xml:space="preserve"> </w:t>
      </w:r>
    </w:p>
    <w:p w:rsidR="00000000" w:rsidRPr="00220DAC" w:rsidRDefault="00BD4694" w:rsidP="00220DAC">
      <w:pPr>
        <w:pStyle w:val="BodyText"/>
      </w:pPr>
      <w:r w:rsidRPr="00220DAC">
        <w:t>Training Packages are developed by Industry Skills Counci</w:t>
      </w:r>
      <w:r w:rsidRPr="00220DAC">
        <w:t>ls or enterprises to meet the identified training needs of specific industries or industry sectors. To gain national endorsement of Training Packages, developers must provide evidence of extensive research, consultation and support within the industry area</w:t>
      </w:r>
      <w:r w:rsidRPr="00220DAC">
        <w:t xml:space="preserve"> or enterprise. </w:t>
      </w:r>
    </w:p>
    <w:p w:rsidR="00000000" w:rsidRPr="00220DAC" w:rsidRDefault="00BD4694" w:rsidP="00220DAC">
      <w:pPr>
        <w:pStyle w:val="BodyText"/>
      </w:pPr>
      <w:r w:rsidRPr="00220DAC">
        <w:rPr>
          <w:rStyle w:val="SpecialBold"/>
        </w:rPr>
        <w:t>How do Training Packages encourage flexibility?</w:t>
      </w:r>
      <w:r w:rsidRPr="00220DAC">
        <w:t xml:space="preserve"> </w:t>
      </w:r>
    </w:p>
    <w:p w:rsidR="00000000" w:rsidRPr="00220DAC" w:rsidRDefault="00BD4694" w:rsidP="00220DAC">
      <w:pPr>
        <w:pStyle w:val="BodyText"/>
      </w:pPr>
      <w:r w:rsidRPr="00220DAC">
        <w:t xml:space="preserve">Training Packages describe the skills and knowledge needed to perform effectively in the workplace without prescribing how people should be trained. </w:t>
      </w:r>
    </w:p>
    <w:p w:rsidR="00000000" w:rsidRPr="00220DAC" w:rsidRDefault="00BD4694" w:rsidP="00220DAC">
      <w:pPr>
        <w:pStyle w:val="BodyText"/>
      </w:pPr>
      <w:r w:rsidRPr="00220DAC">
        <w:t>Training Packages acknowledge that peopl</w:t>
      </w:r>
      <w:r w:rsidRPr="00220DAC">
        <w:t xml:space="preserve">e can achieve vocational competency in many ways by emphasising what the learner can do, not how or where they learned to do it. For example, some experienced workers might be able to demonstrate competency against the units of competency, and even gain a </w:t>
      </w:r>
      <w:r w:rsidRPr="00220DAC">
        <w:t xml:space="preserve">qualification, without completing a formal training program. </w:t>
      </w:r>
    </w:p>
    <w:p w:rsidR="00000000" w:rsidRPr="00220DAC" w:rsidRDefault="00BD4694" w:rsidP="00220DAC">
      <w:pPr>
        <w:pStyle w:val="BodyText"/>
      </w:pPr>
      <w:r w:rsidRPr="00220DAC">
        <w:t xml:space="preserve">With Training Packages, assessment and training may be conducted at the workplace, off-the-job, at a training organisation, during regular work, or through work experience, work placement, work </w:t>
      </w:r>
      <w:r w:rsidRPr="00220DAC">
        <w:t xml:space="preserve">simulation or any combination of these. </w:t>
      </w:r>
    </w:p>
    <w:p w:rsidR="00000000" w:rsidRPr="00220DAC" w:rsidRDefault="00BD4694" w:rsidP="00220DAC">
      <w:pPr>
        <w:pStyle w:val="BodyText"/>
      </w:pPr>
      <w:r w:rsidRPr="00220DAC">
        <w:rPr>
          <w:rStyle w:val="SpecialBold"/>
        </w:rPr>
        <w:t>Who can deliver and assess using Training Packages?</w:t>
      </w:r>
      <w:r w:rsidRPr="00220DAC">
        <w:t xml:space="preserve"> </w:t>
      </w:r>
    </w:p>
    <w:p w:rsidR="00000000" w:rsidRPr="00220DAC" w:rsidRDefault="00BD4694" w:rsidP="00220DAC">
      <w:pPr>
        <w:pStyle w:val="BodyText"/>
      </w:pPr>
      <w:r w:rsidRPr="00220DAC">
        <w:t>Training and assessment using Training Packages must be conducted by a Registered Training Organisation (RTO) that has the qualifications or specific units of com</w:t>
      </w:r>
      <w:r w:rsidRPr="00220DAC">
        <w:t xml:space="preserve">petency on its scope of registration, or that works in partnership with another RTO, as specified in the AQTF 2010. </w:t>
      </w:r>
    </w:p>
    <w:p w:rsidR="00000000" w:rsidRPr="00220DAC" w:rsidRDefault="00BD4694" w:rsidP="00220DAC">
      <w:pPr>
        <w:pStyle w:val="BodyText"/>
      </w:pPr>
      <w:r w:rsidRPr="00220DAC">
        <w:rPr>
          <w:rStyle w:val="SpecialBold"/>
        </w:rPr>
        <w:t>Training Package Components</w:t>
      </w:r>
      <w:r w:rsidRPr="00220DAC">
        <w:t xml:space="preserve"> </w:t>
      </w:r>
    </w:p>
    <w:p w:rsidR="00000000" w:rsidRPr="00220DAC" w:rsidRDefault="00BD4694" w:rsidP="00220DAC">
      <w:pPr>
        <w:pStyle w:val="BodyText"/>
      </w:pPr>
      <w:r w:rsidRPr="00220DAC">
        <w:lastRenderedPageBreak/>
        <w:t xml:space="preserve">Training Packages are made up of mandatory components endorsed by the NQC, and optional support materials. </w:t>
      </w:r>
    </w:p>
    <w:p w:rsidR="00000000" w:rsidRPr="00220DAC" w:rsidRDefault="00BD4694" w:rsidP="00220DAC">
      <w:pPr>
        <w:pStyle w:val="BodyText"/>
      </w:pPr>
      <w:r w:rsidRPr="00220DAC">
        <w:rPr>
          <w:rStyle w:val="SpecialBold"/>
        </w:rPr>
        <w:t>Tr</w:t>
      </w:r>
      <w:r w:rsidRPr="00220DAC">
        <w:rPr>
          <w:rStyle w:val="SpecialBold"/>
        </w:rPr>
        <w:t xml:space="preserve">aining Package Endorsed Components </w:t>
      </w:r>
    </w:p>
    <w:p w:rsidR="00000000" w:rsidRPr="00220DAC" w:rsidRDefault="00BD4694" w:rsidP="00220DAC">
      <w:pPr>
        <w:pStyle w:val="BodyText"/>
      </w:pPr>
      <w:r w:rsidRPr="00220DAC">
        <w:t xml:space="preserve">The nationally endorsed components include the Competency Standards, Assessment Guidelines and Qualifications Framework. These form the basis of training and assessment in the Training Package and, as such, they must be </w:t>
      </w:r>
      <w:r w:rsidRPr="00220DAC">
        <w:t xml:space="preserve">used. </w:t>
      </w:r>
    </w:p>
    <w:p w:rsidR="00000000" w:rsidRPr="00220DAC" w:rsidRDefault="00BD4694" w:rsidP="00220DAC">
      <w:pPr>
        <w:pStyle w:val="BodyText"/>
      </w:pPr>
    </w:p>
    <w:p w:rsidR="00000000" w:rsidRPr="00220DAC" w:rsidRDefault="00BD4694" w:rsidP="00220DAC">
      <w:pPr>
        <w:pStyle w:val="BodyText"/>
        <w:keepNext w:val="0"/>
      </w:pPr>
      <w:bookmarkStart w:id="6" w:name="O_32836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29pt;height:187.5pt">
            <v:imagedata r:id="rId15" o:title=""/>
          </v:shape>
        </w:pict>
      </w:r>
      <w:bookmarkEnd w:id="6"/>
    </w:p>
    <w:p w:rsidR="00000000" w:rsidRPr="00220DAC" w:rsidRDefault="00BD4694" w:rsidP="00220DAC">
      <w:pPr>
        <w:pStyle w:val="BodyText"/>
      </w:pPr>
    </w:p>
    <w:p w:rsidR="00000000" w:rsidRPr="00220DAC" w:rsidRDefault="00BD4694" w:rsidP="00220DAC">
      <w:pPr>
        <w:pStyle w:val="BodyText"/>
      </w:pPr>
      <w:r w:rsidRPr="00220DAC">
        <w:rPr>
          <w:rStyle w:val="SpecialBold"/>
        </w:rPr>
        <w:t>Competency Standards</w:t>
      </w:r>
      <w:r w:rsidRPr="00220DAC">
        <w:t xml:space="preserve"> </w:t>
      </w:r>
    </w:p>
    <w:p w:rsidR="00000000" w:rsidRPr="00220DAC" w:rsidRDefault="00BD4694" w:rsidP="00220DAC">
      <w:pPr>
        <w:pStyle w:val="BodyText"/>
      </w:pPr>
      <w:r w:rsidRPr="00220DAC">
        <w:t xml:space="preserve">Each unit of competency identifies a discrete workplace requirement and includes the knowledge and skills that underpin competency as well as language, literacy and numeracy; and occupational health and safety requirements. The units of competency must be </w:t>
      </w:r>
      <w:r w:rsidRPr="00220DAC">
        <w:t xml:space="preserve">adhered to in training and assessment to ensure consistency of outcomes. </w:t>
      </w:r>
    </w:p>
    <w:p w:rsidR="00000000" w:rsidRPr="00220DAC" w:rsidRDefault="00BD4694" w:rsidP="00220DAC">
      <w:pPr>
        <w:pStyle w:val="BodyText"/>
      </w:pPr>
      <w:r w:rsidRPr="00220DAC">
        <w:rPr>
          <w:rStyle w:val="SpecialBold"/>
        </w:rPr>
        <w:t>Assessment Guidelines</w:t>
      </w:r>
      <w:r w:rsidRPr="00220DAC">
        <w:t xml:space="preserve"> </w:t>
      </w:r>
    </w:p>
    <w:p w:rsidR="00000000" w:rsidRPr="00220DAC" w:rsidRDefault="00BD4694" w:rsidP="00220DAC">
      <w:pPr>
        <w:pStyle w:val="BodyText"/>
      </w:pPr>
      <w:r w:rsidRPr="00220DAC">
        <w:t>The Assessment Guidelines provide an industry framework to ensure all assessments meet industry needs and nationally agreed standards as expressed in the Train</w:t>
      </w:r>
      <w:r w:rsidRPr="00220DAC">
        <w:t xml:space="preserve">ing Package and the AQTF 2010. The Assessment Guidelines must be followed to ensure the integrity of assessment leading to nationally recognised qualifications. </w:t>
      </w:r>
    </w:p>
    <w:p w:rsidR="00000000" w:rsidRPr="00220DAC" w:rsidRDefault="00BD4694" w:rsidP="00220DAC">
      <w:pPr>
        <w:pStyle w:val="BodyText"/>
      </w:pPr>
      <w:r w:rsidRPr="00220DAC">
        <w:rPr>
          <w:rStyle w:val="SpecialBold"/>
        </w:rPr>
        <w:t>Qualifications Framework</w:t>
      </w:r>
      <w:r w:rsidRPr="00220DAC">
        <w:t xml:space="preserve"> </w:t>
      </w:r>
    </w:p>
    <w:p w:rsidR="00000000" w:rsidRPr="00220DAC" w:rsidRDefault="00BD4694" w:rsidP="00220DAC">
      <w:pPr>
        <w:pStyle w:val="BodyText"/>
      </w:pPr>
      <w:r w:rsidRPr="00220DAC">
        <w:t>Each Training Package provides details of those units of competency that must be achieved to award AQF qualifications. The rules around which units of competency can be combined to make up a valid AQF qualification in the Training Package are referred to a</w:t>
      </w:r>
      <w:r w:rsidRPr="00220DAC">
        <w:t xml:space="preserve">s the ‘packaging rules’. The packaging rules must be followed to ensure the integrity of nationally recognised qualifications issued. </w:t>
      </w:r>
    </w:p>
    <w:p w:rsidR="00000000" w:rsidRPr="00220DAC" w:rsidRDefault="00BD4694" w:rsidP="00220DAC">
      <w:pPr>
        <w:pStyle w:val="BodyText"/>
      </w:pPr>
      <w:r w:rsidRPr="00220DAC">
        <w:rPr>
          <w:rStyle w:val="SpecialBold"/>
        </w:rPr>
        <w:t>Training Package Support Materials</w:t>
      </w:r>
      <w:r w:rsidRPr="00220DAC">
        <w:t xml:space="preserve"> </w:t>
      </w:r>
    </w:p>
    <w:p w:rsidR="00000000" w:rsidRPr="00220DAC" w:rsidRDefault="00BD4694" w:rsidP="00220DAC">
      <w:pPr>
        <w:pStyle w:val="BodyText"/>
      </w:pPr>
      <w:r w:rsidRPr="00220DAC">
        <w:t>The endorsed components of Training Packages are complemented and supported by option</w:t>
      </w:r>
      <w:r w:rsidRPr="00220DAC">
        <w:t xml:space="preserve">al support materials that provide for choice in the design of training and assessment to meet the needs of industry and learners. </w:t>
      </w:r>
    </w:p>
    <w:p w:rsidR="00000000" w:rsidRPr="00220DAC" w:rsidRDefault="00BD4694" w:rsidP="00220DAC">
      <w:pPr>
        <w:pStyle w:val="BodyText"/>
      </w:pPr>
      <w:r w:rsidRPr="00220DAC">
        <w:t xml:space="preserve">Training Package support materials can relate to single or multiple units of competency, an industry sector, a qualification </w:t>
      </w:r>
      <w:r w:rsidRPr="00220DAC">
        <w:t xml:space="preserve">or the whole Training Package. They tend to fall into one or more of the categories illustrated below. </w:t>
      </w:r>
    </w:p>
    <w:p w:rsidR="00000000" w:rsidRPr="00220DAC" w:rsidRDefault="00BD4694" w:rsidP="00220DAC">
      <w:pPr>
        <w:pStyle w:val="BodyText"/>
      </w:pPr>
    </w:p>
    <w:p w:rsidR="00000000" w:rsidRPr="00220DAC" w:rsidRDefault="00BD4694" w:rsidP="00220DAC">
      <w:pPr>
        <w:pStyle w:val="BodyText"/>
        <w:keepNext w:val="0"/>
      </w:pPr>
      <w:bookmarkStart w:id="7" w:name="O_328367"/>
      <w:r>
        <w:pict>
          <v:shape id="_x0000_i1048" type="#_x0000_t75" style="width:450.75pt;height:113.25pt">
            <v:imagedata r:id="rId16" o:title=""/>
          </v:shape>
        </w:pict>
      </w:r>
      <w:bookmarkEnd w:id="7"/>
    </w:p>
    <w:p w:rsidR="00000000" w:rsidRPr="00220DAC" w:rsidRDefault="00BD4694" w:rsidP="00220DAC">
      <w:pPr>
        <w:pStyle w:val="BodyText"/>
      </w:pPr>
    </w:p>
    <w:p w:rsidR="00000000" w:rsidRPr="00220DAC" w:rsidRDefault="00BD4694" w:rsidP="00220DAC">
      <w:pPr>
        <w:pStyle w:val="BodyText"/>
      </w:pPr>
      <w:r w:rsidRPr="00220DAC">
        <w:t xml:space="preserve">Training Package support materials are produced by a range of stakeholders such as RTOs, individual trainers and assessors, private and commercial developers and Government agencies. </w:t>
      </w:r>
    </w:p>
    <w:p w:rsidR="00000000" w:rsidRPr="00220DAC" w:rsidRDefault="00BD4694" w:rsidP="00220DAC">
      <w:pPr>
        <w:pStyle w:val="BodyText"/>
      </w:pPr>
    </w:p>
    <w:p w:rsidR="00000000" w:rsidRPr="00220DAC" w:rsidRDefault="00BD4694" w:rsidP="00220DAC">
      <w:pPr>
        <w:pStyle w:val="Heading2"/>
      </w:pPr>
      <w:r w:rsidRPr="00220DAC">
        <w:t>Training Package, Qualifi</w:t>
      </w:r>
      <w:r w:rsidRPr="00220DAC">
        <w:t xml:space="preserve">cation and Unit of Competency Codes </w:t>
      </w:r>
    </w:p>
    <w:p w:rsidR="00000000" w:rsidRPr="00220DAC" w:rsidRDefault="00BD4694" w:rsidP="00220DAC">
      <w:pPr>
        <w:pStyle w:val="BodyText"/>
      </w:pPr>
      <w:r w:rsidRPr="00220DAC">
        <w:t xml:space="preserve">There are agreed conventions for the national codes used for Training Packages and their components. Always use the correct codes, exactly as they appear in the Training Package, </w:t>
      </w:r>
      <w:r w:rsidRPr="00220DAC">
        <w:rPr>
          <w:rStyle w:val="SpecialBold"/>
        </w:rPr>
        <w:t>and with the code always before the titl</w:t>
      </w:r>
      <w:r w:rsidRPr="00220DAC">
        <w:rPr>
          <w:rStyle w:val="SpecialBold"/>
        </w:rPr>
        <w:t>e</w:t>
      </w:r>
      <w:r w:rsidRPr="00220DAC">
        <w:t xml:space="preserve">. </w:t>
      </w:r>
    </w:p>
    <w:p w:rsidR="00000000" w:rsidRPr="00220DAC" w:rsidRDefault="00BD4694" w:rsidP="00220DAC">
      <w:pPr>
        <w:pStyle w:val="BodyText"/>
      </w:pPr>
      <w:r w:rsidRPr="00220DAC">
        <w:rPr>
          <w:rStyle w:val="SpecialBold"/>
        </w:rPr>
        <w:t>Training Package Codes</w:t>
      </w:r>
      <w:r w:rsidRPr="00220DAC">
        <w:t xml:space="preserve"> </w:t>
      </w:r>
    </w:p>
    <w:p w:rsidR="00000000" w:rsidRPr="00220DAC" w:rsidRDefault="00BD4694" w:rsidP="00220DAC">
      <w:pPr>
        <w:pStyle w:val="BodyText"/>
      </w:pPr>
      <w:r w:rsidRPr="00220DAC">
        <w:t>Each Training Package has a unique five-character national code assigned when the Training Package is endorsed, for example XYZ08. The first three characters are letters identifying the Training Package industry coverage and the</w:t>
      </w:r>
      <w:r w:rsidRPr="00220DAC">
        <w:t xml:space="preserve"> last two characters are numbers identifying the year of endorsement. </w:t>
      </w:r>
    </w:p>
    <w:p w:rsidR="00000000" w:rsidRPr="00220DAC" w:rsidRDefault="00BD4694" w:rsidP="00220DAC">
      <w:pPr>
        <w:pStyle w:val="BodyText"/>
      </w:pPr>
      <w:r w:rsidRPr="00220DAC">
        <w:rPr>
          <w:rStyle w:val="SpecialBold"/>
        </w:rPr>
        <w:t>Qualification Codes</w:t>
      </w:r>
      <w:r w:rsidRPr="00220DAC">
        <w:t xml:space="preserve"> </w:t>
      </w:r>
    </w:p>
    <w:p w:rsidR="00000000" w:rsidRPr="00220DAC" w:rsidRDefault="00BD4694" w:rsidP="00220DAC">
      <w:pPr>
        <w:pStyle w:val="BodyText"/>
      </w:pPr>
      <w:r w:rsidRPr="00220DAC">
        <w:t>Within each Training Package, each qualification has a unique eight-character code, for example XYZ10108. Qualification codes are developed as follows:</w:t>
      </w:r>
    </w:p>
    <w:p w:rsidR="00000000" w:rsidRPr="00220DAC" w:rsidRDefault="00BD4694" w:rsidP="00220DAC">
      <w:pPr>
        <w:pStyle w:val="ListBullet2"/>
      </w:pPr>
      <w:r w:rsidRPr="00220DAC">
        <w:t>the first t</w:t>
      </w:r>
      <w:r w:rsidRPr="00220DAC">
        <w:t xml:space="preserve">hree letters identify the Training Package; </w:t>
      </w:r>
    </w:p>
    <w:p w:rsidR="00000000" w:rsidRPr="00220DAC" w:rsidRDefault="00BD4694" w:rsidP="00220DAC">
      <w:pPr>
        <w:pStyle w:val="ListBullet2"/>
      </w:pPr>
      <w:r w:rsidRPr="00220DAC">
        <w:t xml:space="preserve">the first number identifies the qualification level (noting that, in the qualification titles themselves, arabic numbers are </w:t>
      </w:r>
      <w:r w:rsidRPr="00220DAC">
        <w:rPr>
          <w:rStyle w:val="SpecialBold"/>
        </w:rPr>
        <w:t>not</w:t>
      </w:r>
      <w:r w:rsidRPr="00220DAC">
        <w:t xml:space="preserve"> used); </w:t>
      </w:r>
    </w:p>
    <w:p w:rsidR="00000000" w:rsidRPr="00220DAC" w:rsidRDefault="00BD4694" w:rsidP="00220DAC">
      <w:pPr>
        <w:pStyle w:val="ListBullet2"/>
      </w:pPr>
      <w:r w:rsidRPr="00220DAC">
        <w:t>the next two numbers identify the p</w:t>
      </w:r>
      <w:r w:rsidRPr="00220DAC">
        <w:t>osition in the sequence of the qualification at that level; and</w:t>
      </w:r>
    </w:p>
    <w:p w:rsidR="00000000" w:rsidRPr="00220DAC" w:rsidRDefault="00BD4694" w:rsidP="00220DAC">
      <w:pPr>
        <w:pStyle w:val="ListBullet2"/>
      </w:pPr>
      <w:r w:rsidRPr="00220DAC">
        <w:t xml:space="preserve">the last two numbers identify the year in which the qualification was endorsed. (Where qualifications are added after the initial Training Package endorsement, the last two numbers may differ </w:t>
      </w:r>
      <w:r w:rsidRPr="00220DAC">
        <w:t>from other Training Package qualifications as they identify the year in which those particular qualifications were endorsed.)</w:t>
      </w:r>
    </w:p>
    <w:p w:rsidR="00000000" w:rsidRPr="00220DAC" w:rsidRDefault="00BD4694" w:rsidP="00220DAC">
      <w:pPr>
        <w:pStyle w:val="BodyText"/>
      </w:pPr>
      <w:r w:rsidRPr="00220DAC">
        <w:rPr>
          <w:rStyle w:val="SpecialBold"/>
        </w:rPr>
        <w:t>Unit of Competency Codes</w:t>
      </w:r>
      <w:r w:rsidRPr="00220DAC">
        <w:t xml:space="preserve"> </w:t>
      </w:r>
    </w:p>
    <w:p w:rsidR="00000000" w:rsidRPr="00220DAC" w:rsidRDefault="00BD4694" w:rsidP="00220DAC">
      <w:pPr>
        <w:pStyle w:val="BodyText"/>
      </w:pPr>
      <w:r w:rsidRPr="00220DAC">
        <w:t>Within each Training Package, each unit of competency has a unique code. Unit of competency codes are as</w:t>
      </w:r>
      <w:r w:rsidRPr="00220DAC">
        <w:t>signed when the Training Package is endorsed, or when new units of competency are added to an existing endorsed Training Package. Unit codes are developed as follows:</w:t>
      </w:r>
    </w:p>
    <w:p w:rsidR="00000000" w:rsidRPr="00220DAC" w:rsidRDefault="00BD4694" w:rsidP="00220DAC">
      <w:pPr>
        <w:pStyle w:val="ListBullet"/>
      </w:pPr>
      <w:r w:rsidRPr="00220DAC">
        <w:t xml:space="preserve">a typical code is made up of 12 characters, normally a mixture of uppercase letters and </w:t>
      </w:r>
      <w:r w:rsidRPr="00220DAC">
        <w:t xml:space="preserve">numbers, as in FPPSTM330A Shut down and bank steam boiler; </w:t>
      </w:r>
    </w:p>
    <w:p w:rsidR="00000000" w:rsidRPr="00220DAC" w:rsidRDefault="00BD4694" w:rsidP="00220DAC">
      <w:pPr>
        <w:pStyle w:val="ListBullet"/>
      </w:pPr>
      <w:r w:rsidRPr="00220DAC">
        <w:t xml:space="preserve">the first three characters signify the Training Package FPP in the above example and up to eight characters, relating to an industry sector, function or skill area, follow; </w:t>
      </w:r>
    </w:p>
    <w:p w:rsidR="00000000" w:rsidRPr="00220DAC" w:rsidRDefault="00BD4694" w:rsidP="00220DAC">
      <w:pPr>
        <w:pStyle w:val="ListBullet"/>
      </w:pPr>
      <w:r w:rsidRPr="00220DAC">
        <w:t xml:space="preserve">the last character is </w:t>
      </w:r>
      <w:r w:rsidRPr="00220DAC">
        <w:t>always a letter and identifies the unit of competency version. An ‘A’ at the end of the code indicates that this is the original unit of competency. ‘B’, or another incremented version identifier means that minor changes have been made. Typically this woul</w:t>
      </w:r>
      <w:r w:rsidRPr="00220DAC">
        <w:t xml:space="preserve">d mean that wording has changed in the range statement or evidence guide, providing clearer intent; and </w:t>
      </w:r>
    </w:p>
    <w:p w:rsidR="00000000" w:rsidRPr="00220DAC" w:rsidRDefault="00BD4694" w:rsidP="00220DAC">
      <w:pPr>
        <w:pStyle w:val="ListBullet"/>
      </w:pPr>
      <w:r w:rsidRPr="00220DAC">
        <w:t>where changes are made that alter the outcome, a new code is assigned and the title is changed.</w:t>
      </w:r>
    </w:p>
    <w:p w:rsidR="00000000" w:rsidRPr="00220DAC" w:rsidRDefault="00BD4694" w:rsidP="00220DAC">
      <w:pPr>
        <w:pStyle w:val="ListBullet"/>
      </w:pPr>
    </w:p>
    <w:p w:rsidR="00000000" w:rsidRPr="00220DAC" w:rsidRDefault="00BD4694" w:rsidP="00220DAC">
      <w:pPr>
        <w:pStyle w:val="Heading2"/>
      </w:pPr>
      <w:r w:rsidRPr="00220DAC">
        <w:t>Training Package, Qualification and Unit of Competency</w:t>
      </w:r>
      <w:r w:rsidRPr="00220DAC">
        <w:t xml:space="preserve"> Titles </w:t>
      </w:r>
    </w:p>
    <w:p w:rsidR="00000000" w:rsidRPr="00220DAC" w:rsidRDefault="00BD4694" w:rsidP="00220DAC">
      <w:pPr>
        <w:pStyle w:val="BodyText"/>
      </w:pPr>
      <w:r w:rsidRPr="00220DAC">
        <w:lastRenderedPageBreak/>
        <w:t xml:space="preserve">There are agreed conventions for titling Training Packages and their components. Always use the correct titles, exactly as they appear in the Training Package, and with the code always placed before the title. </w:t>
      </w:r>
    </w:p>
    <w:p w:rsidR="00000000" w:rsidRPr="00220DAC" w:rsidRDefault="00BD4694" w:rsidP="00220DAC">
      <w:pPr>
        <w:pStyle w:val="BodyText"/>
      </w:pPr>
      <w:r w:rsidRPr="00220DAC">
        <w:rPr>
          <w:rStyle w:val="SpecialBold"/>
        </w:rPr>
        <w:t>Training Package Titles</w:t>
      </w:r>
      <w:r w:rsidRPr="00220DAC">
        <w:t xml:space="preserve"> </w:t>
      </w:r>
    </w:p>
    <w:p w:rsidR="00000000" w:rsidRPr="00220DAC" w:rsidRDefault="00BD4694" w:rsidP="00220DAC">
      <w:pPr>
        <w:pStyle w:val="BodyText"/>
      </w:pPr>
      <w:r w:rsidRPr="00220DAC">
        <w:t xml:space="preserve">The title of each endorsed Training Package is unique and relates the Training Packages broad industry coverage. </w:t>
      </w:r>
    </w:p>
    <w:p w:rsidR="00000000" w:rsidRPr="00220DAC" w:rsidRDefault="00BD4694" w:rsidP="00220DAC">
      <w:pPr>
        <w:pStyle w:val="BodyText"/>
      </w:pPr>
      <w:r w:rsidRPr="00220DAC">
        <w:rPr>
          <w:rStyle w:val="SpecialBold"/>
        </w:rPr>
        <w:t>Qualification Titles</w:t>
      </w:r>
      <w:r w:rsidRPr="00220DAC">
        <w:t xml:space="preserve"> </w:t>
      </w:r>
    </w:p>
    <w:p w:rsidR="00000000" w:rsidRPr="00220DAC" w:rsidRDefault="00BD4694" w:rsidP="00220DAC">
      <w:pPr>
        <w:pStyle w:val="BodyText"/>
      </w:pPr>
      <w:r w:rsidRPr="00220DAC">
        <w:t xml:space="preserve">The title of each endorsed Training Package qualification is unique. Qualification titles use the following sequence: </w:t>
      </w:r>
    </w:p>
    <w:p w:rsidR="00000000" w:rsidRPr="00220DAC" w:rsidRDefault="00BD4694" w:rsidP="00220DAC">
      <w:pPr>
        <w:pStyle w:val="ListBullet"/>
      </w:pPr>
      <w:r w:rsidRPr="00220DAC">
        <w:t>first, the qualification is identified as either Certificate I, Certificate II, Certificate III, Certificate IV, Diploma, Advanced Diploma, Vocational Graduate Certificate, or Vocational Graduate Diploma;</w:t>
      </w:r>
    </w:p>
    <w:p w:rsidR="00000000" w:rsidRPr="00220DAC" w:rsidRDefault="00BD4694" w:rsidP="00220DAC">
      <w:pPr>
        <w:pStyle w:val="ListBullet"/>
      </w:pPr>
      <w:r w:rsidRPr="00220DAC">
        <w:t>this is followed by the words ‘in’ for Certificates</w:t>
      </w:r>
      <w:r w:rsidRPr="00220DAC">
        <w:t xml:space="preserve"> I to IV, and ‘of’ for Diploma, Advanced Diploma, Vocational Graduate Certificate and Vocational Graduate Diploma;</w:t>
      </w:r>
    </w:p>
    <w:p w:rsidR="00000000" w:rsidRPr="00220DAC" w:rsidRDefault="00BD4694" w:rsidP="00220DAC">
      <w:pPr>
        <w:pStyle w:val="ListBullet"/>
      </w:pPr>
      <w:r w:rsidRPr="00220DAC">
        <w:t xml:space="preserve">then, the industry descriptor, for example Telecommunications; and </w:t>
      </w:r>
    </w:p>
    <w:p w:rsidR="00000000" w:rsidRPr="00220DAC" w:rsidRDefault="00BD4694" w:rsidP="00220DAC">
      <w:pPr>
        <w:pStyle w:val="ListBullet"/>
      </w:pPr>
      <w:r w:rsidRPr="00220DAC">
        <w:t>then, if applicable, the occupational or functional stream in brackets, f</w:t>
      </w:r>
      <w:r w:rsidRPr="00220DAC">
        <w:t>or example (Computer Systems).</w:t>
      </w:r>
    </w:p>
    <w:p w:rsidR="00000000" w:rsidRPr="00220DAC" w:rsidRDefault="00BD4694" w:rsidP="00220DAC">
      <w:pPr>
        <w:pStyle w:val="BodyText"/>
      </w:pPr>
      <w:r w:rsidRPr="00220DAC">
        <w:t xml:space="preserve">For example: </w:t>
      </w:r>
    </w:p>
    <w:p w:rsidR="00000000" w:rsidRPr="00220DAC" w:rsidRDefault="00BD4694" w:rsidP="00220DAC">
      <w:pPr>
        <w:pStyle w:val="BodyText"/>
      </w:pPr>
      <w:r w:rsidRPr="00220DAC">
        <w:t xml:space="preserve">FPP30110 Certificate III in Pulping Operations </w:t>
      </w:r>
    </w:p>
    <w:p w:rsidR="00000000" w:rsidRPr="00220DAC" w:rsidRDefault="00BD4694" w:rsidP="00220DAC">
      <w:pPr>
        <w:pStyle w:val="BodyText"/>
      </w:pPr>
      <w:r w:rsidRPr="00220DAC">
        <w:rPr>
          <w:rStyle w:val="SpecialBold"/>
        </w:rPr>
        <w:t>Unit of Competency Titles</w:t>
      </w:r>
      <w:r w:rsidRPr="00220DAC">
        <w:t xml:space="preserve"> </w:t>
      </w:r>
    </w:p>
    <w:p w:rsidR="00000000" w:rsidRPr="00220DAC" w:rsidRDefault="00BD4694" w:rsidP="00220DAC">
      <w:pPr>
        <w:pStyle w:val="BodyText"/>
      </w:pPr>
      <w:r w:rsidRPr="00220DAC">
        <w:t>Each unit of competency title is unique. Unit of competency titles describe the competency outcome concisely, and are written in sentenc</w:t>
      </w:r>
      <w:r w:rsidRPr="00220DAC">
        <w:t xml:space="preserve">e case. </w:t>
      </w:r>
    </w:p>
    <w:p w:rsidR="00000000" w:rsidRPr="00220DAC" w:rsidRDefault="00BD4694" w:rsidP="00220DAC">
      <w:pPr>
        <w:pStyle w:val="BodyText"/>
      </w:pPr>
      <w:r w:rsidRPr="00220DAC">
        <w:t xml:space="preserve">For example: </w:t>
      </w:r>
    </w:p>
    <w:p w:rsidR="00000000" w:rsidRPr="00220DAC" w:rsidRDefault="00BD4694" w:rsidP="00220DAC">
      <w:pPr>
        <w:pStyle w:val="BodyText"/>
      </w:pPr>
      <w:r w:rsidRPr="00220DAC">
        <w:t>FPPPUL320A Prepare and start up pulping system operations</w:t>
      </w:r>
    </w:p>
    <w:p w:rsidR="00000000" w:rsidRPr="00220DAC" w:rsidRDefault="00BD4694" w:rsidP="00220DAC">
      <w:pPr>
        <w:pStyle w:val="AllowPageBreak"/>
      </w:pPr>
    </w:p>
    <w:p w:rsidR="00000000" w:rsidRPr="00220DAC" w:rsidRDefault="00BD4694" w:rsidP="00220DAC">
      <w:pPr>
        <w:pStyle w:val="SuperHeading"/>
      </w:pPr>
      <w:bookmarkStart w:id="8" w:name="O_515226"/>
      <w:bookmarkStart w:id="9" w:name="_Toc394059856"/>
      <w:bookmarkEnd w:id="8"/>
      <w:r w:rsidRPr="00220DAC">
        <w:lastRenderedPageBreak/>
        <w:t>Introduction to FPP10 Version 1</w:t>
      </w:r>
      <w:bookmarkEnd w:id="9"/>
    </w:p>
    <w:p w:rsidR="00000000" w:rsidRPr="00220DAC" w:rsidRDefault="00BD4694" w:rsidP="00220DAC">
      <w:pPr>
        <w:pStyle w:val="Heading1"/>
      </w:pPr>
      <w:r w:rsidRPr="00220DAC">
        <w:t>Introduction to FPP10 Version 1</w:t>
      </w:r>
    </w:p>
    <w:p w:rsidR="00000000" w:rsidRPr="00220DAC" w:rsidRDefault="00BD4694" w:rsidP="00220DAC">
      <w:pPr>
        <w:pStyle w:val="Heading2"/>
      </w:pPr>
      <w:r w:rsidRPr="00220DAC">
        <w:t>Industry profile</w:t>
      </w:r>
    </w:p>
    <w:p w:rsidR="00000000" w:rsidRPr="00220DAC" w:rsidRDefault="00BD4694" w:rsidP="00220DAC">
      <w:pPr>
        <w:pStyle w:val="BodyText"/>
      </w:pPr>
      <w:r w:rsidRPr="00220DAC">
        <w:t>The pulp and paper sector manufactures pulp and a wide range of paper and paper products within the following main categories: printing and communications paper, newsprint, packaging and industrial paper and tissue products.  These products are produced us</w:t>
      </w:r>
      <w:r w:rsidRPr="00220DAC">
        <w:t>ing pulp from both Australian paper recycling and wood sources, with some pulp imported to supplement domestic supply.</w:t>
      </w:r>
    </w:p>
    <w:p w:rsidR="00000000" w:rsidRPr="00220DAC" w:rsidRDefault="00BD4694" w:rsidP="00220DAC">
      <w:pPr>
        <w:pStyle w:val="BodyText"/>
      </w:pPr>
    </w:p>
    <w:p w:rsidR="00BD4694" w:rsidRDefault="00BD4694" w:rsidP="00220DAC">
      <w:pPr>
        <w:pStyle w:val="BodyText"/>
      </w:pPr>
      <w:r w:rsidRPr="00220DAC">
        <w:t>The sector is highly concentrated with employment being based in twenty major operating mills predominately located across the lower Sou</w:t>
      </w:r>
      <w:r w:rsidRPr="00220DAC">
        <w:t>th Australian-Victorian border, central Victoria and Tasmania, as well as across New South Wales and South-East Queensland.  Critical skills of workers in this sector are required to facilitate continuous operation of complex equipment and processes across</w:t>
      </w:r>
      <w:r w:rsidRPr="00220DAC">
        <w:t xml:space="preserve"> multiple technologies and also include troubleshooting and rectification of systems and processes.</w:t>
      </w:r>
    </w:p>
    <w:p w:rsidR="00BD4694" w:rsidRDefault="00BD4694" w:rsidP="00220DAC">
      <w:pPr>
        <w:pStyle w:val="BodyText"/>
      </w:pPr>
    </w:p>
    <w:p w:rsidR="00000000" w:rsidRPr="00220DAC" w:rsidRDefault="00BD4694" w:rsidP="00220DAC">
      <w:pPr>
        <w:pStyle w:val="SuperHeading"/>
      </w:pPr>
      <w:bookmarkStart w:id="10" w:name="O_515225"/>
      <w:bookmarkStart w:id="11" w:name="_Toc394059857"/>
      <w:bookmarkEnd w:id="10"/>
      <w:r w:rsidRPr="00220DAC">
        <w:t>List of AQF Qualifications</w:t>
      </w:r>
      <w:bookmarkEnd w:id="11"/>
    </w:p>
    <w:p w:rsidR="00000000" w:rsidRPr="00220DAC" w:rsidRDefault="00BD4694" w:rsidP="00220DAC">
      <w:pPr>
        <w:pStyle w:val="Heading1"/>
      </w:pPr>
      <w:r w:rsidRPr="00220DAC">
        <w:t>List of AQF Qualifications</w:t>
      </w:r>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2410"/>
        <w:gridCol w:w="6582"/>
      </w:tblGrid>
      <w:tr w:rsidR="00000000" w:rsidTr="00220DAC">
        <w:trPr>
          <w:trHeight w:val="274"/>
          <w:tblHeader/>
        </w:trPr>
        <w:tc>
          <w:tcPr>
            <w:tcW w:w="2410" w:type="dxa"/>
            <w:tcBorders>
              <w:top w:val="nil"/>
              <w:left w:val="nil"/>
              <w:bottom w:val="nil"/>
              <w:right w:val="nil"/>
            </w:tcBorders>
            <w:tcMar>
              <w:top w:w="0" w:type="dxa"/>
              <w:left w:w="62" w:type="dxa"/>
              <w:bottom w:w="0" w:type="dxa"/>
              <w:right w:w="62" w:type="dxa"/>
            </w:tcMar>
          </w:tcPr>
          <w:p w:rsidR="00000000" w:rsidRPr="00220DAC" w:rsidRDefault="00BD4694" w:rsidP="00220DAC">
            <w:pPr>
              <w:pStyle w:val="BodyText"/>
            </w:pPr>
            <w:r w:rsidRPr="00220DAC">
              <w:rPr>
                <w:rStyle w:val="SpecialBold"/>
              </w:rPr>
              <w:t>Qualification Code</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rPr>
                <w:rStyle w:val="SpecialBold"/>
              </w:rPr>
              <w:t>Title</w:t>
            </w:r>
          </w:p>
        </w:tc>
      </w:tr>
      <w:tr w:rsidR="00000000" w:rsidTr="00220DAC">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FPP20110</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 xml:space="preserve">Certificate II in Pulping Operations </w:t>
            </w:r>
          </w:p>
        </w:tc>
      </w:tr>
      <w:tr w:rsidR="00000000" w:rsidTr="00220DAC">
        <w:trPr>
          <w:trHeight w:val="309"/>
        </w:trPr>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FPP20210</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 xml:space="preserve">Certificate II in Papermaking Operations </w:t>
            </w:r>
          </w:p>
        </w:tc>
      </w:tr>
      <w:tr w:rsidR="00000000" w:rsidTr="00220DAC">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FPP30110</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 xml:space="preserve">Certificate III in Pulping Operations </w:t>
            </w:r>
          </w:p>
        </w:tc>
      </w:tr>
      <w:tr w:rsidR="00000000" w:rsidTr="00220DAC">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FPP30210</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 xml:space="preserve">Certificate III in Papermaking Operations </w:t>
            </w:r>
          </w:p>
        </w:tc>
      </w:tr>
      <w:tr w:rsidR="00000000" w:rsidTr="00220DAC">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FPP40110</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 xml:space="preserve">Certificate IV in Pulping Operations </w:t>
            </w:r>
          </w:p>
        </w:tc>
      </w:tr>
      <w:tr w:rsidR="00000000" w:rsidTr="00220DAC">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FPP40210</w:t>
            </w:r>
          </w:p>
        </w:tc>
        <w:tc>
          <w:tcPr>
            <w:tcW w:w="6582"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 xml:space="preserve">Certificate IV in Papermaking Operations </w:t>
            </w:r>
          </w:p>
        </w:tc>
      </w:tr>
      <w:tr w:rsidR="00000000" w:rsidRPr="00220DAC" w:rsidTr="00220DAC">
        <w:trPr>
          <w:trHeight w:val="309"/>
        </w:trPr>
        <w:tc>
          <w:tcPr>
            <w:tcW w:w="2410" w:type="dxa"/>
            <w:tcBorders>
              <w:top w:val="nil"/>
              <w:left w:val="nil"/>
              <w:bottom w:val="nil"/>
              <w:right w:val="nil"/>
            </w:tcBorders>
            <w:tcMar>
              <w:top w:w="0" w:type="dxa"/>
              <w:left w:w="62" w:type="dxa"/>
              <w:bottom w:w="0" w:type="dxa"/>
              <w:right w:w="62" w:type="dxa"/>
            </w:tcMar>
          </w:tcPr>
          <w:p w:rsidR="00000000" w:rsidRDefault="00BD4694" w:rsidP="00220DAC">
            <w:pPr>
              <w:pStyle w:val="BodyText"/>
              <w:rPr>
                <w:lang w:val="en-NZ"/>
              </w:rPr>
            </w:pPr>
            <w:r w:rsidRPr="00220DAC">
              <w:t>FPP50110</w:t>
            </w:r>
          </w:p>
        </w:tc>
        <w:tc>
          <w:tcPr>
            <w:tcW w:w="6582" w:type="dxa"/>
            <w:tcBorders>
              <w:top w:val="nil"/>
              <w:left w:val="nil"/>
              <w:bottom w:val="nil"/>
              <w:right w:val="nil"/>
            </w:tcBorders>
            <w:tcMar>
              <w:top w:w="0" w:type="dxa"/>
              <w:left w:w="62" w:type="dxa"/>
              <w:bottom w:w="0" w:type="dxa"/>
              <w:right w:w="62" w:type="dxa"/>
            </w:tcMar>
          </w:tcPr>
          <w:p w:rsidR="00000000" w:rsidRPr="00220DAC" w:rsidRDefault="00BD4694" w:rsidP="00220DAC">
            <w:pPr>
              <w:pStyle w:val="BodyText"/>
            </w:pPr>
            <w:r w:rsidRPr="00220DAC">
              <w:t>Di</w:t>
            </w:r>
            <w:r w:rsidRPr="00220DAC">
              <w:t>ploma of Pulp and Paper Process Management</w:t>
            </w:r>
          </w:p>
        </w:tc>
      </w:tr>
    </w:tbl>
    <w:p w:rsidR="00000000" w:rsidRPr="00220DAC" w:rsidRDefault="00BD4694" w:rsidP="00220DAC">
      <w:pPr>
        <w:pStyle w:val="BodyText"/>
      </w:pPr>
    </w:p>
    <w:p w:rsidR="00000000" w:rsidRPr="00220DAC" w:rsidRDefault="00BD4694" w:rsidP="00220DAC">
      <w:pPr>
        <w:pStyle w:val="AllowPageBreak"/>
      </w:pPr>
    </w:p>
    <w:p w:rsidR="00000000" w:rsidRPr="00220DAC" w:rsidRDefault="00BD4694" w:rsidP="00220DAC">
      <w:pPr>
        <w:pStyle w:val="SuperHeading"/>
      </w:pPr>
      <w:bookmarkStart w:id="12" w:name="O_515224"/>
      <w:bookmarkStart w:id="13" w:name="_Toc394059858"/>
      <w:bookmarkEnd w:id="12"/>
      <w:r w:rsidRPr="00220DAC">
        <w:lastRenderedPageBreak/>
        <w:t>Units of Competency FPP10</w:t>
      </w:r>
      <w:bookmarkEnd w:id="13"/>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2126"/>
        <w:gridCol w:w="6813"/>
      </w:tblGrid>
      <w:tr w:rsidR="00000000" w:rsidTr="00220DAC">
        <w:trPr>
          <w:tblHeader/>
        </w:trPr>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Pr="00220DAC" w:rsidRDefault="00BD4694" w:rsidP="00220DAC">
            <w:pPr>
              <w:pStyle w:val="BodyText"/>
            </w:pPr>
            <w:r w:rsidRPr="00220DAC">
              <w:rPr>
                <w:rStyle w:val="SpecialBold"/>
              </w:rPr>
              <w:t>Unit Code</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rPr>
                <w:rStyle w:val="SpecialBold"/>
              </w:rPr>
              <w:t>Unit Title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FPPCPP210A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coated paper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FPPCPP320A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coated paper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FPPCPP330A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the shutdown of coated paper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FPPCPP440A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coated paper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FPPCPR210A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chemical products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FPPCSK310A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Operate process control equipment</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FPPDEO210A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dry end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FPPDEO320</w:t>
            </w:r>
            <w:r w:rsidRPr="00220DAC">
              <w:t>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dry end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FPPDEO330A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implement dry end shutdown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FPPDEO440A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dry end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FPPENV210A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Identify and monitor environmental discharges/emissions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FPPENV320A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environmental hazards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FPPEPG210A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power generation system</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FPPEPG320A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a power generation system startup</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FPPEPG330A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power generation system shutdown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FPPEPG440A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power gener</w:t>
            </w:r>
            <w:r w:rsidRPr="00220DAC">
              <w:t>ation system</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FPPFCO210A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control and shut down finishing and converting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FPPFCO320A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finishing and converting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FPPFCO340A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finishing and converting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FPPHWP250A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Store and dispatch waste paper</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FPPHWP260A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Receive waste paper</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FPPHWP270A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Unload waste paper</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FPPMHV210A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Operate overhead crane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FPPNUM210A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Estimate and calculate basic data</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FPPNUM320A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Measure and calculate routine workplace data</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FPPNUM430A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Calculate and analyse production and financial performance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FPPOHS210A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Participate in OHS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FPPOHS310A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OHS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FPPOHS320A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Maintain OHS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FPPOHS410A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Identify, assess and control OHS risk in own work</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FPPOHS420A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Manage </w:t>
            </w:r>
            <w:r w:rsidRPr="00220DAC">
              <w:t>OHS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FPPPLN210A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Plan and undertake a routine task</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FPPPLN420A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Plan a complex activity</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FPPPRM210A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Undertake operator level preventative maintenance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FPPPRM220A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Perform lubrication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FPPPRS210A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Identify and rectify problems in the workplace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FPPPRS320A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Solve systemic problems in the workplace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FPPPRV210A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Operate ancillary equipment</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FPPPRV320A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direct clothing changes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FPPPUL210A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pulping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FPPPUL250A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Store and distribute pulped product</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FPPPUL320A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pulping system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FPPPUL330A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implement pulping plant shutdowns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FPPPUL440A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pulping processes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FPPQAS210A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basic quality practices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FPPQAS420A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in-process quality assuran</w:t>
            </w:r>
            <w:r w:rsidRPr="00220DAC">
              <w:t>ce</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FPPQAS430A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Oversee quality assurance process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FPPREC210A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chemical recovery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FPPREC320A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chemical recovery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FPPREC330A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implement chemical recovery shutdowns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FPPREC440A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chemical recovery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FPPREL210A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effective working relationships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FPPRES210A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operate the woodchip production system</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FPPRES250A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Distribute woodchips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FPPRES260A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Receive materials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FPPRES270A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Unload materials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FPPRES340A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primary resource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FPPSPR210A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stock preparation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FPPSPR320A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stock preparation system for production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FPPSPR330A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implement stock</w:t>
            </w:r>
            <w:r w:rsidRPr="00220DAC">
              <w:t xml:space="preserve"> preparation system shutdown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FPPSPR440A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stock preparation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FPPSTM210A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boiler operation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FPPSTM320A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steam boiler startup</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FPPSTM330A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Shut down and bank steam boiler</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FPPSTM440A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boiler plant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FPPSUS210A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sustainable work practices/policies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FPPSUS510A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Develop workplace policy and procedures for sustainability</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FPPWAR250A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Store product</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FPPWAR255A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dispatch product</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FPPWAR280A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Wareho</w:t>
            </w:r>
            <w:r w:rsidRPr="00220DAC">
              <w:t>use product packaging</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FPPWAS210A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Operate water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FPPWAS340A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water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FPPWEO210A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wet end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FPPWEO320A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wet end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FPPWEO330A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implement wet end shutdown</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FPPWEO440A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Troubleshoot and rectify wet end systems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FPPWPO210A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and control waste paper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FPPWPO320A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and start up waste paper operations</w:t>
            </w:r>
          </w:p>
        </w:tc>
      </w:tr>
      <w:tr w:rsidR="00000000"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FPPWPO330A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and implement waste paper shutdown</w:t>
            </w:r>
          </w:p>
        </w:tc>
      </w:tr>
      <w:tr w:rsidR="00000000" w:rsidRPr="00220DAC" w:rsidTr="00220DAC">
        <w:tc>
          <w:tcPr>
            <w:tcW w:w="2126"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FPPWPO440A</w:t>
            </w:r>
          </w:p>
        </w:tc>
        <w:tc>
          <w:tcPr>
            <w:tcW w:w="681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Pr="00220DAC" w:rsidRDefault="00BD4694" w:rsidP="00220DAC">
            <w:pPr>
              <w:pStyle w:val="BodyText"/>
            </w:pPr>
            <w:r w:rsidRPr="00220DAC">
              <w:t>Troubleshoot and rectify waste paper operations</w:t>
            </w:r>
          </w:p>
        </w:tc>
      </w:tr>
    </w:tbl>
    <w:p w:rsidR="00000000" w:rsidRPr="00220DAC" w:rsidRDefault="00BD4694" w:rsidP="00220DAC">
      <w:pPr>
        <w:pStyle w:val="BodyText"/>
      </w:pPr>
    </w:p>
    <w:p w:rsidR="00000000" w:rsidRPr="00220DAC" w:rsidRDefault="00BD4694" w:rsidP="00220DAC">
      <w:pPr>
        <w:pStyle w:val="AllowPageBreak"/>
      </w:pPr>
    </w:p>
    <w:p w:rsidR="00000000" w:rsidRPr="00220DAC" w:rsidRDefault="00BD4694" w:rsidP="00220DAC">
      <w:pPr>
        <w:pStyle w:val="SuperHeading"/>
      </w:pPr>
      <w:bookmarkStart w:id="14" w:name="O_515223"/>
      <w:bookmarkStart w:id="15" w:name="_Toc394059859"/>
      <w:bookmarkEnd w:id="14"/>
      <w:r w:rsidRPr="00220DAC">
        <w:lastRenderedPageBreak/>
        <w:t>Imported Units of Competency FPP10</w:t>
      </w:r>
      <w:bookmarkEnd w:id="15"/>
    </w:p>
    <w:p w:rsidR="00000000" w:rsidRPr="00220DAC" w:rsidRDefault="00BD4694" w:rsidP="00220DAC">
      <w:pPr>
        <w:pStyle w:val="BodyText"/>
      </w:pPr>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2123"/>
        <w:gridCol w:w="6615"/>
      </w:tblGrid>
      <w:tr w:rsidR="00000000" w:rsidTr="00BD4694">
        <w:trPr>
          <w:tblHeader/>
        </w:trPr>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Heading3"/>
              <w:rPr>
                <w:lang w:val="en-NZ"/>
              </w:rPr>
            </w:pPr>
            <w:r w:rsidRPr="00220DAC">
              <w:t>Code</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Heading3"/>
              <w:rPr>
                <w:lang w:val="en-NZ"/>
              </w:rPr>
            </w:pPr>
            <w:r w:rsidRPr="00220DAC">
              <w:t>Title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BSBADM405B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Organise meetings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BSBADM502B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meetings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BSBAUD501B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Initiate a quality audit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BSBCMM101A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basic communication skills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BSBCMM201A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Communicate in the workplace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BSBCMM401A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Make a presentation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BSBFIM501A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budgets and financial plans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BSBFLM305C</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Support operational plan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BSBFLM309C</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Support continuous improvement systems and processes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BSBFLM311C</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Support a workplace learning environment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BSBFLM312C</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team effectiveness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BSBLED501A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Develop a workplace learning environment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BSBMGT502B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people performance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BSBMGT515A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operational plan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BSBMGT608C</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innovation and continuous improvement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BSBOHS401B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the implementation of a systematic approach to managing OHS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BSBOHS403B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Identify hazards and assess OHS risks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BSBOHS404B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the implement</w:t>
            </w:r>
            <w:r w:rsidRPr="00220DAC">
              <w:t>ation of strategies to control OHS risk</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BSBWHS401A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Implement and monitor WHS policies, procedures and programs to meet legislative requirements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BSBWHS402A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Assist with compliance with WHS laws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BSBWHS403A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implementing and maintaining WHS c</w:t>
            </w:r>
            <w:r w:rsidRPr="00220DAC">
              <w:t xml:space="preserve">onsultation </w:t>
            </w:r>
            <w:r w:rsidRPr="00220DAC">
              <w:lastRenderedPageBreak/>
              <w:t xml:space="preserve">and participation processes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BSBWHS409A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Assist with workplace monitoring processes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BSBWHS510A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Contribute to implementing emergency procedures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BSBPMG522A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Undertake project work</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BSBREL401A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Establish networks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BSBRES401A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Analyse and present research information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BSBRSK401A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Identify risk and apply risk management processes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BSBWOR401A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Establish effective workplace relationships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BSBWOR402A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Promote team effectiveness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BSBWOR501B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personal work priorities and professional development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BSBWOR502B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Ensure team effectiveness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Empower workers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BSBWRK403A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Communicate with workers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BSBWRK404A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Promote equality of opportunity and fair treatment for all workers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BSBWRK406A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w:t>
            </w:r>
            <w:r w:rsidRPr="00220DAC">
              <w:t>articipate in the bargaining process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BSBWRK407A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Provide advice to union members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BSBWRK408A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Undertake negotiations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BSBWRK409A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for and participate in dispute resolution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BSBWRK506A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Coordinate research and analysis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CPPSEC2011B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Control access to and exit from premises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CPPSEC2015A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Patrol premises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CPPSEC3007A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Maintain security of environment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FPICOR6201A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sustainability in the workplace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FPICOT5207A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Implement sustainability in the workplace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FPICOT5208A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Build and maintain community relationships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FPICOT6201A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community engagement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FPICOT6205A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an enterprise carbon management report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HLTFA301C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first aid</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MEM09002B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Interpret technical drawing</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MEM11016B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Order materials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MEM12023A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Perf</w:t>
            </w:r>
            <w:r w:rsidRPr="00220DAC">
              <w:t>orm engineering measurements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MEM12024A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Perform computations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MEM14005A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Plan a complete activity</w:t>
            </w:r>
          </w:p>
        </w:tc>
      </w:tr>
      <w:tr w:rsidR="00000000" w:rsidTr="00BD4694">
        <w:trPr>
          <w:trHeight w:val="702"/>
        </w:trPr>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MEM18001C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hand tools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MEM18002B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power tools/hand held operations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MEM18003C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tools for precision work</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MEM18006C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Repair and fit engineering components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MEM18007B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Maintain and repair mechanical drives and mechanical transmission assemblies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MEM18009B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Perform levelling and alignment of machines and engineering components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MEM18010C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Perform equipment condition monitoring and recording</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MEM18011C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Shut down and isolate machines/equipment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MEM18055B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Dismantle, replace and assemble engineering components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MEM30020A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Develop and manage a plan for a simple manufacturing related project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w:t>
            </w:r>
            <w:r w:rsidRPr="00220DAC">
              <w:t>SACMC411A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Lead a competitive manufacturing team</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MSACMS401A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Ensure process improvements are sustained</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MSACMT270A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sustainable energy practices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MSACMT271A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sustainable environmental practices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MSACMT440A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Lead 5S in a manufacturing environment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MSACMT671A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Develop and manage sustainable environmental practices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MSAENV472B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Implement and monitor environmentally sustainable work practices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MSAPMOHS110A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Follow emergency response procedures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MSAPMOHS220A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Provide initial first aid response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MSAPMOPS212</w:t>
            </w:r>
            <w:r w:rsidRPr="00220DAC">
              <w:t>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Use enterprise computers or data systems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MSAPMSUP101A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Clean workplace or equipment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MSAPMSUP382A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Provide coaching/mentoring in the workplace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MSAPMSUP400A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Develop and monitor quality systems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MSL904001A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Perform standard calibrations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MSL973001A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Perform basic tests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MSS402020A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quick changeover procedures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MSS402030A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cost factors to work practices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MSS402040A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5S procedures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MSS402050A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Monitor process capability</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MSS402051A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quality standards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MSS402081A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the application of a proactive maintenance strategy</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MSS403001A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Implement competitive systems and practices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MSS403032A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Analyse manual handling processes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MSS403051A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Mistake proof an operational process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MSS404052A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Apply statistics to operati</w:t>
            </w:r>
            <w:r w:rsidRPr="00220DAC">
              <w:t>onal processes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PMAOHS211B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equipment for emergency response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 xml:space="preserve">PSPPM402B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Manage simple projects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TAEASS301B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Contribute to assessment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TAEASS401B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Plan assessment activities and processes </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TAEASS402B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Assess competence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TAEASS403B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Participate in assessment validation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TAEASS502B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Design and develop assessment tools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TAEASS505A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Lead and coordinate assessment systems and services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TAEDEL301A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Provide work skill instruction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TAEDEL401A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Plan, organise and deliver group-based learning</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TAEDEL402A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Plan, organise and facilitate learning in the workplace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TAEDEL404A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Mentor in the workplace</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TAEDES401A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Design and develop learning programs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TAEDES402A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training packages and accredited courses to meet client needs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TAEDES502A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Design and dev</w:t>
            </w:r>
            <w:r w:rsidRPr="00220DAC">
              <w:t>elop learning resources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TAETAS501B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Undertake organisational training needs analysis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TLIA2012A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Pick and process orders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TLIA2022A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Participate in stocktakes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TLIA3016A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inventory systems to organise stock control</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TLID1001A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Shift materials safely using manual handling methods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TLID1002A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Shift a load using manually-operated equipment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TLID2003A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Handle dangerous goods/hazardous substances</w:t>
            </w:r>
          </w:p>
        </w:tc>
      </w:tr>
      <w:tr w:rsidR="00000000" w:rsidTr="00BD4694">
        <w:trPr>
          <w:trHeight w:val="693"/>
        </w:trPr>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TLID2004A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Load and unload goods/cargo</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TLID2010A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Operate a forklift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TLID2013A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Move materials mechanically using automated equipment</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lastRenderedPageBreak/>
              <w:t>TLID2047A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Prepare cargo for transfer with slings</w:t>
            </w:r>
          </w:p>
        </w:tc>
      </w:tr>
      <w:tr w:rsidR="00000000" w:rsidTr="00BD4694">
        <w:trPr>
          <w:trHeight w:val="484"/>
        </w:trPr>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TLID3011A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Conduct specialised forklift operations</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TLID3024A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Use specialised liquid bulk transfer equipment (gravity/pressurised)</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TLID3031A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Rig load</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 xml:space="preserve">TLID3035A </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Operate a boom type elevating work platform</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TLIE4006A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Collect, analyse and present workplace data and information</w:t>
            </w:r>
          </w:p>
        </w:tc>
      </w:tr>
      <w:tr w:rsidR="00000000"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UEPOPS341A</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Shut down a steam turbine</w:t>
            </w:r>
          </w:p>
        </w:tc>
      </w:tr>
      <w:tr w:rsidR="00000000" w:rsidRPr="00220DAC" w:rsidTr="00BD4694">
        <w:tc>
          <w:tcPr>
            <w:tcW w:w="2123"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Default="00BD4694" w:rsidP="00220DAC">
            <w:pPr>
              <w:pStyle w:val="BodyText"/>
              <w:rPr>
                <w:lang w:val="en-NZ"/>
              </w:rPr>
            </w:pPr>
            <w:r w:rsidRPr="00220DAC">
              <w:t>UEPOPS411B</w:t>
            </w:r>
          </w:p>
        </w:tc>
        <w:tc>
          <w:tcPr>
            <w:tcW w:w="6615" w:type="dxa"/>
            <w:tcBorders>
              <w:top w:val="single" w:sz="4" w:space="0" w:color="A6A6A6"/>
              <w:left w:val="single" w:sz="4" w:space="0" w:color="A6A6A6"/>
              <w:bottom w:val="single" w:sz="4" w:space="0" w:color="A6A6A6"/>
              <w:right w:val="single" w:sz="4" w:space="0" w:color="A6A6A6"/>
            </w:tcBorders>
            <w:tcMar>
              <w:top w:w="0" w:type="dxa"/>
              <w:left w:w="62" w:type="dxa"/>
              <w:bottom w:w="0" w:type="dxa"/>
              <w:right w:w="62" w:type="dxa"/>
            </w:tcMar>
          </w:tcPr>
          <w:p w:rsidR="00000000" w:rsidRPr="00220DAC" w:rsidRDefault="00BD4694" w:rsidP="00220DAC">
            <w:pPr>
              <w:pStyle w:val="BodyText"/>
            </w:pPr>
            <w:r w:rsidRPr="00220DAC">
              <w:t>Run up a steam turbine</w:t>
            </w:r>
          </w:p>
        </w:tc>
      </w:tr>
    </w:tbl>
    <w:p w:rsidR="00BD4694" w:rsidRDefault="00BD4694" w:rsidP="00220DAC">
      <w:pPr>
        <w:pStyle w:val="BodyText"/>
      </w:pPr>
    </w:p>
    <w:p w:rsidR="00BD4694" w:rsidRDefault="00BD4694" w:rsidP="00220DAC">
      <w:pPr>
        <w:pStyle w:val="BodyText"/>
      </w:pPr>
    </w:p>
    <w:p w:rsidR="00000000" w:rsidRPr="00220DAC" w:rsidRDefault="00BD4694" w:rsidP="00220DAC">
      <w:pPr>
        <w:pStyle w:val="SuperHeading"/>
      </w:pPr>
      <w:bookmarkStart w:id="16" w:name="O_515222"/>
      <w:bookmarkStart w:id="17" w:name="_Toc394059860"/>
      <w:bookmarkEnd w:id="16"/>
      <w:r w:rsidRPr="00220DAC">
        <w:t>Qualifications Framework</w:t>
      </w:r>
      <w:bookmarkEnd w:id="17"/>
    </w:p>
    <w:p w:rsidR="00000000" w:rsidRPr="00220DAC" w:rsidRDefault="00BD4694" w:rsidP="00220DAC">
      <w:pPr>
        <w:pStyle w:val="Heading1"/>
      </w:pPr>
      <w:r w:rsidRPr="00220DAC">
        <w:t>Qualifications Framework</w:t>
      </w:r>
    </w:p>
    <w:p w:rsidR="00000000" w:rsidRPr="00220DAC" w:rsidRDefault="00BD4694" w:rsidP="00220DAC">
      <w:pPr>
        <w:pStyle w:val="Heading2"/>
      </w:pPr>
      <w:r w:rsidRPr="00220DAC">
        <w:t xml:space="preserve">The Australian Qualifications Framework </w:t>
      </w:r>
    </w:p>
    <w:p w:rsidR="00000000" w:rsidRPr="00220DAC" w:rsidRDefault="00BD4694" w:rsidP="00220DAC">
      <w:pPr>
        <w:pStyle w:val="BodyText"/>
      </w:pPr>
      <w:r w:rsidRPr="00220DAC">
        <w:rPr>
          <w:rStyle w:val="SpecialBold"/>
        </w:rPr>
        <w:t xml:space="preserve">What is the Australian Qualifications Framework? </w:t>
      </w:r>
    </w:p>
    <w:p w:rsidR="00000000" w:rsidRPr="00220DAC" w:rsidRDefault="00BD4694" w:rsidP="00220DAC">
      <w:pPr>
        <w:pStyle w:val="BodyText"/>
      </w:pPr>
      <w:r w:rsidRPr="00220DAC">
        <w:t>A brief overview of the Australian Qualifications Framework (AQF) follows. For a full explanation of the AQF, see the AQF Implementation Han</w:t>
      </w:r>
      <w:r w:rsidRPr="00220DAC">
        <w:t>dbook.   http://www.aqf.edu.au/Portals/0/Documents/Handbook/AQF_Handbook_07.pdf</w:t>
      </w:r>
    </w:p>
    <w:p w:rsidR="00000000" w:rsidRPr="00220DAC" w:rsidRDefault="00BD4694" w:rsidP="00220DAC">
      <w:pPr>
        <w:pStyle w:val="BodyText"/>
      </w:pPr>
      <w:r w:rsidRPr="00220DAC">
        <w:t>The AQF provides a comprehensive, nationally consistent framework for all qualifications in post-compulsory education and training in Australia. In the vocational education and</w:t>
      </w:r>
      <w:r w:rsidRPr="00220DAC">
        <w:t xml:space="preserve"> training (VET) sector it assists national consistency for all trainees, learners, employers and providers by enabling national recognition of qualifications and Statements of Attainment. </w:t>
      </w:r>
    </w:p>
    <w:p w:rsidR="00000000" w:rsidRPr="00220DAC" w:rsidRDefault="00BD4694" w:rsidP="00220DAC">
      <w:pPr>
        <w:pStyle w:val="BodyText"/>
      </w:pPr>
      <w:r w:rsidRPr="00220DAC">
        <w:t xml:space="preserve">Training Package qualifications in the VET sector must comply with </w:t>
      </w:r>
      <w:r w:rsidRPr="00220DAC">
        <w:t xml:space="preserve">the titles and guidelines of the AQF. Endorsed Training Packages provide a unique title for each AQF qualification which must always be reproduced accurately. </w:t>
      </w:r>
    </w:p>
    <w:p w:rsidR="00000000" w:rsidRPr="00220DAC" w:rsidRDefault="00BD4694" w:rsidP="00220DAC">
      <w:pPr>
        <w:pStyle w:val="BodyText"/>
      </w:pPr>
      <w:r w:rsidRPr="00220DAC">
        <w:rPr>
          <w:rStyle w:val="SpecialBold"/>
        </w:rPr>
        <w:t>Qualifications</w:t>
      </w:r>
      <w:r w:rsidRPr="00220DAC">
        <w:t xml:space="preserve"> </w:t>
      </w:r>
    </w:p>
    <w:p w:rsidR="00000000" w:rsidRPr="00220DAC" w:rsidRDefault="00BD4694" w:rsidP="00220DAC">
      <w:pPr>
        <w:pStyle w:val="BodyText"/>
      </w:pPr>
      <w:r w:rsidRPr="00220DAC">
        <w:t xml:space="preserve">Training Packages can incorporate the following eight AQF qualifications. </w:t>
      </w:r>
    </w:p>
    <w:p w:rsidR="00000000" w:rsidRPr="00220DAC" w:rsidRDefault="00BD4694" w:rsidP="00220DAC">
      <w:pPr>
        <w:pStyle w:val="ListBullet"/>
      </w:pPr>
      <w:r w:rsidRPr="00220DAC">
        <w:t>Certificate I in ...</w:t>
      </w:r>
    </w:p>
    <w:p w:rsidR="00000000" w:rsidRPr="00220DAC" w:rsidRDefault="00BD4694" w:rsidP="00220DAC">
      <w:pPr>
        <w:pStyle w:val="ListBullet"/>
      </w:pPr>
      <w:r w:rsidRPr="00220DAC">
        <w:t>Certificate II in ...</w:t>
      </w:r>
    </w:p>
    <w:p w:rsidR="00000000" w:rsidRPr="00220DAC" w:rsidRDefault="00BD4694" w:rsidP="00220DAC">
      <w:pPr>
        <w:pStyle w:val="ListBullet"/>
      </w:pPr>
      <w:r w:rsidRPr="00220DAC">
        <w:t>Certificate III in ...</w:t>
      </w:r>
    </w:p>
    <w:p w:rsidR="00000000" w:rsidRPr="00220DAC" w:rsidRDefault="00BD4694" w:rsidP="00220DAC">
      <w:pPr>
        <w:pStyle w:val="ListBullet"/>
      </w:pPr>
      <w:r w:rsidRPr="00220DAC">
        <w:t>Certificate IV in ...</w:t>
      </w:r>
    </w:p>
    <w:p w:rsidR="00000000" w:rsidRPr="00220DAC" w:rsidRDefault="00BD4694" w:rsidP="00220DAC">
      <w:pPr>
        <w:pStyle w:val="ListBullet"/>
      </w:pPr>
      <w:r w:rsidRPr="00220DAC">
        <w:t>Diploma of ...</w:t>
      </w:r>
    </w:p>
    <w:p w:rsidR="00000000" w:rsidRPr="00220DAC" w:rsidRDefault="00BD4694" w:rsidP="00220DAC">
      <w:pPr>
        <w:pStyle w:val="ListBullet"/>
      </w:pPr>
      <w:r w:rsidRPr="00220DAC">
        <w:t>Advanced Diploma of ...</w:t>
      </w:r>
    </w:p>
    <w:p w:rsidR="00000000" w:rsidRPr="00220DAC" w:rsidRDefault="00BD4694" w:rsidP="00220DAC">
      <w:pPr>
        <w:pStyle w:val="ListBullet"/>
      </w:pPr>
      <w:r w:rsidRPr="00220DAC">
        <w:t>Vocational Graduate Certificate of ...</w:t>
      </w:r>
    </w:p>
    <w:p w:rsidR="00000000" w:rsidRPr="00220DAC" w:rsidRDefault="00BD4694" w:rsidP="00220DAC">
      <w:pPr>
        <w:pStyle w:val="ListBullet"/>
      </w:pPr>
      <w:r w:rsidRPr="00220DAC">
        <w:lastRenderedPageBreak/>
        <w:t>Vocational Graduate Diploma of ...</w:t>
      </w:r>
    </w:p>
    <w:p w:rsidR="00000000" w:rsidRPr="00220DAC" w:rsidRDefault="00BD4694" w:rsidP="00220DAC">
      <w:pPr>
        <w:pStyle w:val="BodyText"/>
      </w:pPr>
      <w:r w:rsidRPr="00220DAC">
        <w:t>On completion of the requirements defined in the Traini</w:t>
      </w:r>
      <w:r w:rsidRPr="00220DAC">
        <w:t xml:space="preserve">ng Package, a Registered Training Organisation (RTO) may issue a nationally recognised AQF qualification. Issuance of AQF qualifications must comply with the advice provided in the </w:t>
      </w:r>
      <w:r w:rsidRPr="00220DAC">
        <w:rPr>
          <w:rStyle w:val="Emphasis"/>
        </w:rPr>
        <w:t>AQF Implementation Handbook</w:t>
      </w:r>
      <w:r w:rsidRPr="00220DAC">
        <w:t xml:space="preserve"> and the AQTF 2010</w:t>
      </w:r>
      <w:r w:rsidRPr="00220DAC">
        <w:rPr>
          <w:rStyle w:val="Emphasis"/>
        </w:rPr>
        <w:t xml:space="preserve"> Essential Standards for Initi</w:t>
      </w:r>
      <w:r w:rsidRPr="00220DAC">
        <w:rPr>
          <w:rStyle w:val="Emphasis"/>
        </w:rPr>
        <w:t>al and Continuing Registration</w:t>
      </w:r>
      <w:r w:rsidRPr="00220DAC">
        <w:t xml:space="preserve">. </w:t>
      </w:r>
    </w:p>
    <w:p w:rsidR="00000000" w:rsidRPr="00220DAC" w:rsidRDefault="00BD4694" w:rsidP="00220DAC">
      <w:pPr>
        <w:pStyle w:val="BodyText"/>
      </w:pPr>
      <w:r w:rsidRPr="00220DAC">
        <w:rPr>
          <w:rStyle w:val="SpecialBold"/>
        </w:rPr>
        <w:t>Statement of Attainment</w:t>
      </w:r>
      <w:r w:rsidRPr="00220DAC">
        <w:t xml:space="preserve"> </w:t>
      </w:r>
    </w:p>
    <w:p w:rsidR="00000000" w:rsidRPr="00220DAC" w:rsidRDefault="00BD4694" w:rsidP="00220DAC">
      <w:pPr>
        <w:pStyle w:val="BodyText"/>
      </w:pPr>
      <w:r w:rsidRPr="00220DAC">
        <w:t>A Statement of Attainment is issued by a Registered Training Organisation when an individual has completed one or more units of competency from nationally recognised qualification(s)/courses(s). Iss</w:t>
      </w:r>
      <w:r w:rsidRPr="00220DAC">
        <w:t xml:space="preserve">uance of Statements of Attainment must comply with the advice provided in the current </w:t>
      </w:r>
      <w:r w:rsidRPr="00220DAC">
        <w:rPr>
          <w:rStyle w:val="Emphasis"/>
        </w:rPr>
        <w:t>AQF Implementation Handbook</w:t>
      </w:r>
      <w:r w:rsidRPr="00220DAC">
        <w:t xml:space="preserve"> and the AQTF 2010</w:t>
      </w:r>
      <w:r w:rsidRPr="00220DAC">
        <w:rPr>
          <w:rStyle w:val="Emphasis"/>
        </w:rPr>
        <w:t xml:space="preserve"> Essential Standards for Initial and Continuing Registration</w:t>
      </w:r>
      <w:r w:rsidRPr="00220DAC">
        <w:t>.</w:t>
      </w:r>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t xml:space="preserve">Certificate I </w:t>
            </w:r>
          </w:p>
          <w:p w:rsidR="00000000" w:rsidRPr="00220DAC" w:rsidRDefault="00BD4694" w:rsidP="00220DAC">
            <w:pPr>
              <w:pStyle w:val="BodyText"/>
            </w:pPr>
            <w:r w:rsidRPr="00220DAC">
              <w:rPr>
                <w:rStyle w:val="Emphasis"/>
              </w:rPr>
              <w:t>Characteristics of Learning Outcomes</w:t>
            </w:r>
            <w:r w:rsidRPr="00220DAC">
              <w:t xml:space="preserve"> </w:t>
            </w:r>
          </w:p>
          <w:p w:rsidR="00000000" w:rsidRPr="00220DAC" w:rsidRDefault="00BD4694" w:rsidP="00220DAC">
            <w:pPr>
              <w:pStyle w:val="BodyText"/>
            </w:pPr>
            <w:r w:rsidRPr="00220DAC">
              <w:t xml:space="preserve">Breadth, </w:t>
            </w:r>
            <w:r w:rsidRPr="00220DAC">
              <w:t xml:space="preserve">depth and complexity of knowledge and skills would prepare a person to perform a defined range of activities most of which may be routine and predictable. </w:t>
            </w:r>
          </w:p>
          <w:p w:rsidR="00000000" w:rsidRPr="00220DAC" w:rsidRDefault="00BD4694" w:rsidP="00220DAC">
            <w:pPr>
              <w:pStyle w:val="BodyText"/>
            </w:pPr>
            <w:r w:rsidRPr="00220DAC">
              <w:t>Applications may include a variety of employment related skills including preparatory access and par</w:t>
            </w:r>
            <w:r w:rsidRPr="00220DAC">
              <w:t xml:space="preserve">ticipation skills, broad-based induction skills and/or specific workplace skills. They may also include participation in a team or work group. </w:t>
            </w:r>
          </w:p>
          <w:p w:rsidR="00000000" w:rsidRPr="00220DAC" w:rsidRDefault="00BD4694" w:rsidP="00220DAC">
            <w:pPr>
              <w:pStyle w:val="BodyText"/>
            </w:pPr>
            <w:r w:rsidRPr="00220DAC">
              <w:rPr>
                <w:rStyle w:val="Emphasis"/>
              </w:rPr>
              <w:t>Distinguishing Features of Learning Outcomes</w:t>
            </w:r>
            <w:r w:rsidRPr="00220DAC">
              <w:t xml:space="preserve"> </w:t>
            </w:r>
          </w:p>
          <w:p w:rsidR="00000000" w:rsidRPr="00220DAC" w:rsidRDefault="00BD4694" w:rsidP="00220DAC">
            <w:pPr>
              <w:pStyle w:val="BodyText"/>
            </w:pPr>
            <w:r w:rsidRPr="00220DAC">
              <w:t>Do the competencies enable an individual with this qualification t</w:t>
            </w:r>
            <w:r w:rsidRPr="00220DAC">
              <w:t xml:space="preserve">o: </w:t>
            </w:r>
          </w:p>
          <w:p w:rsidR="00000000" w:rsidRPr="00220DAC" w:rsidRDefault="00BD4694" w:rsidP="00220DAC">
            <w:pPr>
              <w:pStyle w:val="ListBullet"/>
            </w:pPr>
            <w:r w:rsidRPr="00220DAC">
              <w:t>demonstrate knowledge by recall in a narrow range of areas;</w:t>
            </w:r>
          </w:p>
          <w:p w:rsidR="00000000" w:rsidRPr="00220DAC" w:rsidRDefault="00BD4694" w:rsidP="00220DAC">
            <w:pPr>
              <w:pStyle w:val="ListBullet"/>
            </w:pPr>
            <w:r w:rsidRPr="00220DAC">
              <w:t>demonstrate basic practical skills, such as the use of relevant tools;</w:t>
            </w:r>
          </w:p>
          <w:p w:rsidR="00000000" w:rsidRPr="00220DAC" w:rsidRDefault="00BD4694" w:rsidP="00220DAC">
            <w:pPr>
              <w:pStyle w:val="ListBullet"/>
            </w:pPr>
            <w:r w:rsidRPr="00220DAC">
              <w:t>perform a sequence of routine tasks given clear direction</w:t>
            </w:r>
          </w:p>
          <w:p w:rsidR="00000000" w:rsidRPr="00220DAC" w:rsidRDefault="00BD4694" w:rsidP="00220DAC">
            <w:pPr>
              <w:pStyle w:val="ListBullet"/>
            </w:pPr>
            <w:r w:rsidRPr="00220DAC">
              <w:t>receive and pass on messages/information.</w:t>
            </w:r>
          </w:p>
        </w:tc>
      </w:tr>
    </w:tbl>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t xml:space="preserve">Certificate II </w:t>
            </w:r>
          </w:p>
          <w:p w:rsidR="00000000" w:rsidRPr="00220DAC" w:rsidRDefault="00BD4694" w:rsidP="00220DAC">
            <w:pPr>
              <w:pStyle w:val="BodyText"/>
            </w:pPr>
            <w:r w:rsidRPr="00220DAC">
              <w:rPr>
                <w:rStyle w:val="Emphasis"/>
              </w:rPr>
              <w:t>Characteristics of Learning Outcomes</w:t>
            </w:r>
            <w:r w:rsidRPr="00220DAC">
              <w:t xml:space="preserve"> </w:t>
            </w:r>
          </w:p>
          <w:p w:rsidR="00000000" w:rsidRPr="00220DAC" w:rsidRDefault="00BD4694" w:rsidP="00220DAC">
            <w:pPr>
              <w:pStyle w:val="BodyText"/>
            </w:pPr>
            <w:r w:rsidRPr="00220DAC">
              <w:t>Breadth, depth and complexity of knowledge and skills would prepare a person to perform in a range of varied activities or knowledge application where there is a clearly defined range of contexts in which the choice of</w:t>
            </w:r>
            <w:r w:rsidRPr="00220DAC">
              <w:t xml:space="preserve"> actions required is usually clear and there is limited complexity in the range of operations to be applied. </w:t>
            </w:r>
          </w:p>
          <w:p w:rsidR="00000000" w:rsidRPr="00220DAC" w:rsidRDefault="00BD4694" w:rsidP="00220DAC">
            <w:pPr>
              <w:pStyle w:val="BodyText"/>
            </w:pPr>
            <w:r w:rsidRPr="00220DAC">
              <w:t xml:space="preserve">Performance of a prescribed range of functions involving known routines and procedures and some accountability for the quality of outcomes. </w:t>
            </w:r>
          </w:p>
          <w:p w:rsidR="00000000" w:rsidRPr="00220DAC" w:rsidRDefault="00BD4694" w:rsidP="00220DAC">
            <w:pPr>
              <w:pStyle w:val="BodyText"/>
            </w:pPr>
            <w:r w:rsidRPr="00220DAC">
              <w:t>Appli</w:t>
            </w:r>
            <w:r w:rsidRPr="00220DAC">
              <w:t xml:space="preserve">cations may include some complex or non-routine activities involving individual responsibility or autonomy and/or collaboration with others as part of a group or team. </w:t>
            </w:r>
          </w:p>
          <w:p w:rsidR="00000000" w:rsidRPr="00220DAC" w:rsidRDefault="00BD4694" w:rsidP="00220DAC">
            <w:pPr>
              <w:pStyle w:val="BodyText"/>
            </w:pPr>
            <w:r w:rsidRPr="00220DAC">
              <w:rPr>
                <w:rStyle w:val="Emphasis"/>
              </w:rPr>
              <w:t>Distinguishing Features of Learning Outcomes</w:t>
            </w:r>
            <w:r w:rsidRPr="00220DAC">
              <w:t xml:space="preserve"> </w:t>
            </w:r>
          </w:p>
          <w:p w:rsidR="00000000" w:rsidRPr="00220DAC" w:rsidRDefault="00BD4694" w:rsidP="00220DAC">
            <w:pPr>
              <w:pStyle w:val="BodyText"/>
            </w:pPr>
            <w:r w:rsidRPr="00220DAC">
              <w:t xml:space="preserve">Do the competencies enable an individual </w:t>
            </w:r>
            <w:r w:rsidRPr="00220DAC">
              <w:t xml:space="preserve">with this qualification to: </w:t>
            </w:r>
          </w:p>
          <w:p w:rsidR="00000000" w:rsidRPr="00220DAC" w:rsidRDefault="00BD4694" w:rsidP="00220DAC">
            <w:pPr>
              <w:pStyle w:val="ListBullet"/>
            </w:pPr>
            <w:r w:rsidRPr="00220DAC">
              <w:t>demonstrate basic operational knowledge in a moderate range of areas;</w:t>
            </w:r>
          </w:p>
          <w:p w:rsidR="00000000" w:rsidRPr="00220DAC" w:rsidRDefault="00BD4694" w:rsidP="00220DAC">
            <w:pPr>
              <w:pStyle w:val="ListBullet"/>
            </w:pPr>
            <w:r w:rsidRPr="00220DAC">
              <w:t>apply a defined range of skills;</w:t>
            </w:r>
          </w:p>
          <w:p w:rsidR="00000000" w:rsidRPr="00220DAC" w:rsidRDefault="00BD4694" w:rsidP="00220DAC">
            <w:pPr>
              <w:pStyle w:val="ListBullet"/>
            </w:pPr>
            <w:r w:rsidRPr="00220DAC">
              <w:lastRenderedPageBreak/>
              <w:t>apply known solutions to a limited range of predictable problems;</w:t>
            </w:r>
          </w:p>
          <w:p w:rsidR="00000000" w:rsidRPr="00220DAC" w:rsidRDefault="00BD4694" w:rsidP="00220DAC">
            <w:pPr>
              <w:pStyle w:val="ListBullet"/>
            </w:pPr>
            <w:r w:rsidRPr="00220DAC">
              <w:t xml:space="preserve">perform a </w:t>
            </w:r>
            <w:r w:rsidRPr="00220DAC">
              <w:t>range of tasks where choice between a limited range of options is required;</w:t>
            </w:r>
          </w:p>
          <w:p w:rsidR="00000000" w:rsidRPr="00220DAC" w:rsidRDefault="00BD4694" w:rsidP="00220DAC">
            <w:pPr>
              <w:pStyle w:val="ListBullet"/>
            </w:pPr>
            <w:r w:rsidRPr="00220DAC">
              <w:t>assess and record information from varied sources;</w:t>
            </w:r>
          </w:p>
          <w:p w:rsidR="00000000" w:rsidRPr="00220DAC" w:rsidRDefault="00BD4694" w:rsidP="00220DAC">
            <w:pPr>
              <w:pStyle w:val="ListBullet"/>
            </w:pPr>
            <w:r w:rsidRPr="00220DAC">
              <w:t>take limited responsibility for own outputs in work and learning.</w:t>
            </w:r>
          </w:p>
        </w:tc>
      </w:tr>
    </w:tbl>
    <w:p w:rsidR="00000000" w:rsidRPr="00220DAC" w:rsidRDefault="00BD4694" w:rsidP="00220DAC">
      <w:pPr>
        <w:pStyle w:val="ListBullet"/>
      </w:pPr>
    </w:p>
    <w:tbl>
      <w:tblPr>
        <w:tblW w:w="0" w:type="auto"/>
        <w:tblInd w:w="360" w:type="dxa"/>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t xml:space="preserve">Certificate III </w:t>
            </w:r>
          </w:p>
          <w:p w:rsidR="00000000" w:rsidRPr="00220DAC" w:rsidRDefault="00BD4694" w:rsidP="00220DAC">
            <w:pPr>
              <w:pStyle w:val="BodyText"/>
            </w:pPr>
            <w:r w:rsidRPr="00220DAC">
              <w:rPr>
                <w:rStyle w:val="Emphasis"/>
              </w:rPr>
              <w:t>Characteristics of Learning Outcomes</w:t>
            </w:r>
            <w:r w:rsidRPr="00220DAC">
              <w:t xml:space="preserve"> </w:t>
            </w:r>
          </w:p>
          <w:p w:rsidR="00000000" w:rsidRPr="00220DAC" w:rsidRDefault="00BD4694" w:rsidP="00220DAC">
            <w:pPr>
              <w:pStyle w:val="BodyText"/>
            </w:pPr>
            <w:r w:rsidRPr="00220DAC">
              <w:t>Breadth, depth and complexity of knowledge and competencies would cover selecting, adapting and transferring skills and knowledge to new environments and providing technical advice and some leadership in resolution of specified problems. This would be appl</w:t>
            </w:r>
            <w:r w:rsidRPr="00220DAC">
              <w:t xml:space="preserve">ied across a range of roles in a variety of contexts with some complexity in the extent and choice of options available. </w:t>
            </w:r>
          </w:p>
          <w:p w:rsidR="00000000" w:rsidRPr="00220DAC" w:rsidRDefault="00BD4694" w:rsidP="00220DAC">
            <w:pPr>
              <w:pStyle w:val="BodyText"/>
            </w:pPr>
            <w:r w:rsidRPr="00220DAC">
              <w:t>Performance of a defined range of skilled operations, usually within a range of broader related activities involving known routines, m</w:t>
            </w:r>
            <w:r w:rsidRPr="00220DAC">
              <w:t xml:space="preserve">ethods and procedures, where some discretion and judgement is required in the section of equipment, services or contingency measures and within known time constraints. </w:t>
            </w:r>
          </w:p>
          <w:p w:rsidR="00000000" w:rsidRPr="00220DAC" w:rsidRDefault="00BD4694" w:rsidP="00220DAC">
            <w:pPr>
              <w:pStyle w:val="BodyText"/>
            </w:pPr>
            <w:r w:rsidRPr="00220DAC">
              <w:t>Applications may involve some responsibility for others. Participation in teams includi</w:t>
            </w:r>
            <w:r w:rsidRPr="00220DAC">
              <w:t xml:space="preserve">ng group or team co-ordination may be involved. </w:t>
            </w:r>
          </w:p>
          <w:p w:rsidR="00000000" w:rsidRPr="00220DAC" w:rsidRDefault="00BD4694" w:rsidP="00220DAC">
            <w:pPr>
              <w:pStyle w:val="BodyText"/>
            </w:pPr>
            <w:r w:rsidRPr="00220DAC">
              <w:rPr>
                <w:rStyle w:val="Emphasis"/>
              </w:rPr>
              <w:t>Distinguishing Features of Learning Outcomes</w:t>
            </w:r>
            <w:r w:rsidRPr="00220DAC">
              <w:t xml:space="preserve"> </w:t>
            </w:r>
          </w:p>
          <w:p w:rsidR="00000000" w:rsidRPr="00220DAC" w:rsidRDefault="00BD4694" w:rsidP="00220DAC">
            <w:pPr>
              <w:pStyle w:val="BodyText"/>
            </w:pPr>
            <w:r w:rsidRPr="00220DAC">
              <w:t xml:space="preserve">Do the competencies enable an individual with this qualification to: </w:t>
            </w:r>
          </w:p>
          <w:p w:rsidR="00000000" w:rsidRPr="00220DAC" w:rsidRDefault="00BD4694" w:rsidP="00220DAC">
            <w:pPr>
              <w:pStyle w:val="ListBullet"/>
            </w:pPr>
            <w:r w:rsidRPr="00220DAC">
              <w:t>demonstrate some relevant theoretical knowledge</w:t>
            </w:r>
          </w:p>
          <w:p w:rsidR="00000000" w:rsidRPr="00220DAC" w:rsidRDefault="00BD4694" w:rsidP="00220DAC">
            <w:pPr>
              <w:pStyle w:val="ListBullet"/>
            </w:pPr>
            <w:r w:rsidRPr="00220DAC">
              <w:t>apply a range of well-developed skills</w:t>
            </w:r>
          </w:p>
          <w:p w:rsidR="00000000" w:rsidRPr="00220DAC" w:rsidRDefault="00BD4694" w:rsidP="00220DAC">
            <w:pPr>
              <w:pStyle w:val="ListBullet"/>
            </w:pPr>
            <w:r w:rsidRPr="00220DAC">
              <w:t>app</w:t>
            </w:r>
            <w:r w:rsidRPr="00220DAC">
              <w:t>ly known solutions to a variety of predictable problems</w:t>
            </w:r>
          </w:p>
          <w:p w:rsidR="00000000" w:rsidRPr="00220DAC" w:rsidRDefault="00BD4694" w:rsidP="00220DAC">
            <w:pPr>
              <w:pStyle w:val="ListBullet"/>
            </w:pPr>
            <w:r w:rsidRPr="00220DAC">
              <w:t>perform processes that require a range of well-developed skills where some discretion and judgement is required</w:t>
            </w:r>
          </w:p>
          <w:p w:rsidR="00000000" w:rsidRPr="00220DAC" w:rsidRDefault="00BD4694" w:rsidP="00220DAC">
            <w:pPr>
              <w:pStyle w:val="ListBullet"/>
            </w:pPr>
            <w:r w:rsidRPr="00220DAC">
              <w:t>interpret available information, using discretion and judgement</w:t>
            </w:r>
          </w:p>
          <w:p w:rsidR="00000000" w:rsidRPr="00220DAC" w:rsidRDefault="00BD4694" w:rsidP="00220DAC">
            <w:pPr>
              <w:pStyle w:val="ListBullet"/>
            </w:pPr>
            <w:r w:rsidRPr="00220DAC">
              <w:t xml:space="preserve">take responsibility for </w:t>
            </w:r>
            <w:r w:rsidRPr="00220DAC">
              <w:t>own outputs in work and learning</w:t>
            </w:r>
          </w:p>
          <w:p w:rsidR="00000000" w:rsidRPr="00220DAC" w:rsidRDefault="00BD4694" w:rsidP="00220DAC">
            <w:pPr>
              <w:pStyle w:val="ListBullet"/>
            </w:pPr>
            <w:r w:rsidRPr="00220DAC">
              <w:t>take limited responsibility for the output of others.</w:t>
            </w:r>
          </w:p>
        </w:tc>
      </w:tr>
    </w:tbl>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t xml:space="preserve">Certificate IV </w:t>
            </w:r>
          </w:p>
          <w:p w:rsidR="00000000" w:rsidRPr="00220DAC" w:rsidRDefault="00BD4694" w:rsidP="00220DAC">
            <w:pPr>
              <w:pStyle w:val="BodyText"/>
            </w:pPr>
            <w:r w:rsidRPr="00220DAC">
              <w:rPr>
                <w:rStyle w:val="Emphasis"/>
              </w:rPr>
              <w:t>Characteristics of Learning Outcomes</w:t>
            </w:r>
            <w:r w:rsidRPr="00220DAC">
              <w:t xml:space="preserve"> </w:t>
            </w:r>
          </w:p>
          <w:p w:rsidR="00000000" w:rsidRPr="00220DAC" w:rsidRDefault="00BD4694" w:rsidP="00220DAC">
            <w:pPr>
              <w:pStyle w:val="BodyText"/>
            </w:pPr>
            <w:r w:rsidRPr="00220DAC">
              <w:t>Breadth, depth and complexity of knowledge and competencies would cover a broad range of varied activities or application in a wider variety of contexts most of which are complex and non-routine. Leadership and guidance are involved when organising activit</w:t>
            </w:r>
            <w:r w:rsidRPr="00220DAC">
              <w:t xml:space="preserve">ies of self and others as well as contributing to technical solutions of a non-routine or contingency nature. </w:t>
            </w:r>
          </w:p>
          <w:p w:rsidR="00000000" w:rsidRPr="00220DAC" w:rsidRDefault="00BD4694" w:rsidP="00220DAC">
            <w:pPr>
              <w:pStyle w:val="BodyText"/>
            </w:pPr>
            <w:r w:rsidRPr="00220DAC">
              <w:t>Performance of a broad range of skilled applications including the requirement to evaluate and analyse current practices, develop new criteria an</w:t>
            </w:r>
            <w:r w:rsidRPr="00220DAC">
              <w:t xml:space="preserve">d procedures for performing current practices and provision of some leadership and guidance to others </w:t>
            </w:r>
            <w:r w:rsidRPr="00220DAC">
              <w:lastRenderedPageBreak/>
              <w:t xml:space="preserve">in the application and planning of the skills. Applications involve responsibility for, and limited organisation of, others. </w:t>
            </w:r>
          </w:p>
          <w:p w:rsidR="00000000" w:rsidRPr="00220DAC" w:rsidRDefault="00BD4694" w:rsidP="00220DAC">
            <w:pPr>
              <w:pStyle w:val="BodyText"/>
            </w:pPr>
            <w:r w:rsidRPr="00220DAC">
              <w:rPr>
                <w:rStyle w:val="Emphasis"/>
              </w:rPr>
              <w:t>Distinguishing Features of L</w:t>
            </w:r>
            <w:r w:rsidRPr="00220DAC">
              <w:rPr>
                <w:rStyle w:val="Emphasis"/>
              </w:rPr>
              <w:t>earning Outcomes</w:t>
            </w:r>
            <w:r w:rsidRPr="00220DAC">
              <w:t xml:space="preserve"> </w:t>
            </w:r>
          </w:p>
          <w:p w:rsidR="00000000" w:rsidRPr="00220DAC" w:rsidRDefault="00BD4694" w:rsidP="00220DAC">
            <w:pPr>
              <w:pStyle w:val="BodyText"/>
            </w:pPr>
            <w:r w:rsidRPr="00220DAC">
              <w:t xml:space="preserve">Do the competencies enable an individual with this qualification to: </w:t>
            </w:r>
          </w:p>
          <w:p w:rsidR="00000000" w:rsidRPr="00220DAC" w:rsidRDefault="00BD4694" w:rsidP="00220DAC">
            <w:pPr>
              <w:pStyle w:val="ListBullet"/>
            </w:pPr>
            <w:r w:rsidRPr="00220DAC">
              <w:t>demonstrate understanding of a broad knowledge base incorporating some theoretical concepts</w:t>
            </w:r>
          </w:p>
          <w:p w:rsidR="00000000" w:rsidRPr="00220DAC" w:rsidRDefault="00BD4694" w:rsidP="00220DAC">
            <w:pPr>
              <w:pStyle w:val="ListBullet"/>
            </w:pPr>
            <w:r w:rsidRPr="00220DAC">
              <w:t>apply solutions to a defined range of unpredictable problems</w:t>
            </w:r>
          </w:p>
          <w:p w:rsidR="00000000" w:rsidRPr="00220DAC" w:rsidRDefault="00BD4694" w:rsidP="00220DAC">
            <w:pPr>
              <w:pStyle w:val="ListBullet"/>
            </w:pPr>
            <w:r w:rsidRPr="00220DAC">
              <w:t>identify and a</w:t>
            </w:r>
            <w:r w:rsidRPr="00220DAC">
              <w:t>pply skill and knowledge areas to a wide variety of contexts, with depth in some areas</w:t>
            </w:r>
          </w:p>
          <w:p w:rsidR="00000000" w:rsidRPr="00220DAC" w:rsidRDefault="00BD4694" w:rsidP="00220DAC">
            <w:pPr>
              <w:pStyle w:val="ListBullet"/>
            </w:pPr>
            <w:r w:rsidRPr="00220DAC">
              <w:t>identify, analyse and evaluate information from a variety of sources</w:t>
            </w:r>
          </w:p>
          <w:p w:rsidR="00000000" w:rsidRPr="00220DAC" w:rsidRDefault="00BD4694" w:rsidP="00220DAC">
            <w:pPr>
              <w:pStyle w:val="ListBullet"/>
            </w:pPr>
            <w:r w:rsidRPr="00220DAC">
              <w:t>take responsibility for own outputs in relation to specified quality standards</w:t>
            </w:r>
          </w:p>
          <w:p w:rsidR="00000000" w:rsidRPr="00220DAC" w:rsidRDefault="00BD4694" w:rsidP="00220DAC">
            <w:pPr>
              <w:pStyle w:val="ListBullet"/>
            </w:pPr>
            <w:r w:rsidRPr="00220DAC">
              <w:t>take limited responsi</w:t>
            </w:r>
            <w:r w:rsidRPr="00220DAC">
              <w:t>bility for the quantity and quality of the output of others.</w:t>
            </w:r>
          </w:p>
        </w:tc>
      </w:tr>
    </w:tbl>
    <w:p w:rsidR="00000000" w:rsidRPr="00220DAC" w:rsidRDefault="00BD4694" w:rsidP="00220DAC">
      <w:pPr>
        <w:pStyle w:val="ListBullet"/>
      </w:pPr>
    </w:p>
    <w:tbl>
      <w:tblPr>
        <w:tblW w:w="0" w:type="auto"/>
        <w:tblInd w:w="360" w:type="dxa"/>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t xml:space="preserve">Diploma </w:t>
            </w:r>
          </w:p>
          <w:p w:rsidR="00000000" w:rsidRPr="00220DAC" w:rsidRDefault="00BD4694" w:rsidP="00220DAC">
            <w:pPr>
              <w:pStyle w:val="BodyText"/>
            </w:pPr>
            <w:r w:rsidRPr="00220DAC">
              <w:rPr>
                <w:rStyle w:val="Emphasis"/>
              </w:rPr>
              <w:t>Characteristics of Learning Outcomes</w:t>
            </w:r>
            <w:r w:rsidRPr="00220DAC">
              <w:t xml:space="preserve"> </w:t>
            </w:r>
          </w:p>
          <w:p w:rsidR="00000000" w:rsidRPr="00220DAC" w:rsidRDefault="00BD4694" w:rsidP="00220DAC">
            <w:pPr>
              <w:pStyle w:val="BodyText"/>
            </w:pPr>
            <w:r w:rsidRPr="00220DAC">
              <w:t xml:space="preserve">Breadth, depth and complexity covering planning and initiation of alternative approaches to skills or knowledge applications across a broad range of technical and/or management requirements, evaluation and co-ordination. </w:t>
            </w:r>
          </w:p>
          <w:p w:rsidR="00000000" w:rsidRPr="00220DAC" w:rsidRDefault="00BD4694" w:rsidP="00220DAC">
            <w:pPr>
              <w:pStyle w:val="BodyText"/>
            </w:pPr>
            <w:r w:rsidRPr="00220DAC">
              <w:t>The self directed application of k</w:t>
            </w:r>
            <w:r w:rsidRPr="00220DAC">
              <w:t xml:space="preserve">nowledge and skills, with substantial depth in some areas where judgment is required in planning and selecting appropriate equipment, services and techniques for self and others. </w:t>
            </w:r>
          </w:p>
          <w:p w:rsidR="00000000" w:rsidRPr="00220DAC" w:rsidRDefault="00BD4694" w:rsidP="00220DAC">
            <w:pPr>
              <w:pStyle w:val="BodyText"/>
            </w:pPr>
            <w:r w:rsidRPr="00220DAC">
              <w:t>Applications involve participation in development of strategic initiatives a</w:t>
            </w:r>
            <w:r w:rsidRPr="00220DAC">
              <w:t>s well as personal responsibility and autonomy in performing complex technical operations or organising others. It may include participation in teams including teams concerned with planning and evaluation functions. Group or team co-ordination may be invol</w:t>
            </w:r>
            <w:r w:rsidRPr="00220DAC">
              <w:t xml:space="preserve">ved. </w:t>
            </w:r>
          </w:p>
          <w:p w:rsidR="00000000" w:rsidRPr="00220DAC" w:rsidRDefault="00BD4694" w:rsidP="00220DAC">
            <w:pPr>
              <w:pStyle w:val="BodyText"/>
            </w:pPr>
            <w:r w:rsidRPr="00220DAC">
              <w:t xml:space="preserve">The degree of emphasis on breadth as against depth of knowledge and skills may vary between qualifications granted at this level. </w:t>
            </w:r>
          </w:p>
          <w:p w:rsidR="00000000" w:rsidRPr="00220DAC" w:rsidRDefault="00BD4694" w:rsidP="00220DAC">
            <w:pPr>
              <w:pStyle w:val="BodyText"/>
            </w:pPr>
            <w:r w:rsidRPr="00220DAC">
              <w:rPr>
                <w:rStyle w:val="Emphasis"/>
              </w:rPr>
              <w:t>Distinguishing Features of Learning Outcomes</w:t>
            </w:r>
            <w:r w:rsidRPr="00220DAC">
              <w:t xml:space="preserve"> </w:t>
            </w:r>
          </w:p>
          <w:p w:rsidR="00000000" w:rsidRPr="00220DAC" w:rsidRDefault="00BD4694" w:rsidP="00220DAC">
            <w:pPr>
              <w:pStyle w:val="BodyText"/>
            </w:pPr>
            <w:r w:rsidRPr="00220DAC">
              <w:t>Do the competencies or learning outcomes enable an individual with this q</w:t>
            </w:r>
            <w:r w:rsidRPr="00220DAC">
              <w:t xml:space="preserve">ualification to: </w:t>
            </w:r>
          </w:p>
          <w:p w:rsidR="00000000" w:rsidRPr="00220DAC" w:rsidRDefault="00BD4694" w:rsidP="00220DAC">
            <w:pPr>
              <w:pStyle w:val="ListBullet"/>
            </w:pPr>
            <w:r w:rsidRPr="00220DAC">
              <w:t>demonstrate understanding of a broad knowledge base incorporating theoretical concepts, with substantial depth in some areas</w:t>
            </w:r>
          </w:p>
          <w:p w:rsidR="00000000" w:rsidRPr="00220DAC" w:rsidRDefault="00BD4694" w:rsidP="00220DAC">
            <w:pPr>
              <w:pStyle w:val="ListBullet"/>
            </w:pPr>
            <w:r w:rsidRPr="00220DAC">
              <w:t>analyse and plan approaches to technical problems or management requirements</w:t>
            </w:r>
          </w:p>
          <w:p w:rsidR="00000000" w:rsidRPr="00220DAC" w:rsidRDefault="00BD4694" w:rsidP="00220DAC">
            <w:pPr>
              <w:pStyle w:val="ListBullet"/>
            </w:pPr>
            <w:r w:rsidRPr="00220DAC">
              <w:t>transfer and apply theoretical conc</w:t>
            </w:r>
            <w:r w:rsidRPr="00220DAC">
              <w:t>epts and/or technical or creative skills to a range of situations</w:t>
            </w:r>
          </w:p>
          <w:p w:rsidR="00000000" w:rsidRPr="00220DAC" w:rsidRDefault="00BD4694" w:rsidP="00220DAC">
            <w:pPr>
              <w:pStyle w:val="ListBullet"/>
            </w:pPr>
            <w:r w:rsidRPr="00220DAC">
              <w:t>evaluate information, using it to forecast for planning or research purposes</w:t>
            </w:r>
          </w:p>
          <w:p w:rsidR="00000000" w:rsidRPr="00220DAC" w:rsidRDefault="00BD4694" w:rsidP="00220DAC">
            <w:pPr>
              <w:pStyle w:val="ListBullet"/>
            </w:pPr>
            <w:r w:rsidRPr="00220DAC">
              <w:t>take responsibility for own outputs in relation to broad quantity and quality parameters</w:t>
            </w:r>
          </w:p>
          <w:p w:rsidR="00000000" w:rsidRPr="00220DAC" w:rsidRDefault="00BD4694" w:rsidP="00220DAC">
            <w:pPr>
              <w:pStyle w:val="ListBullet"/>
            </w:pPr>
            <w:r w:rsidRPr="00220DAC">
              <w:t>take some responsibility for the achievement of group outcomes.</w:t>
            </w:r>
          </w:p>
        </w:tc>
      </w:tr>
    </w:tbl>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lastRenderedPageBreak/>
              <w:t xml:space="preserve">Advanced Diploma </w:t>
            </w:r>
          </w:p>
          <w:p w:rsidR="00000000" w:rsidRPr="00220DAC" w:rsidRDefault="00BD4694" w:rsidP="00220DAC">
            <w:pPr>
              <w:pStyle w:val="BodyText"/>
            </w:pPr>
            <w:r w:rsidRPr="00220DAC">
              <w:rPr>
                <w:rStyle w:val="Emphasis"/>
              </w:rPr>
              <w:t>Characteristics of Learning Outcomes</w:t>
            </w:r>
            <w:r w:rsidRPr="00220DAC">
              <w:t xml:space="preserve"> </w:t>
            </w:r>
          </w:p>
          <w:p w:rsidR="00000000" w:rsidRPr="00220DAC" w:rsidRDefault="00BD4694" w:rsidP="00220DAC">
            <w:pPr>
              <w:pStyle w:val="BodyText"/>
            </w:pPr>
            <w:r w:rsidRPr="00220DAC">
              <w:t>Breadth, depth and complexity involving analysis, design, planning, execution and evaluation across a range of technical and/or manage</w:t>
            </w:r>
            <w:r w:rsidRPr="00220DAC">
              <w:t xml:space="preserve">ment functions including development of new criteria or applications or knowledge or procedures. </w:t>
            </w:r>
          </w:p>
          <w:p w:rsidR="00000000" w:rsidRPr="00220DAC" w:rsidRDefault="00BD4694" w:rsidP="00220DAC">
            <w:pPr>
              <w:pStyle w:val="BodyText"/>
            </w:pPr>
            <w:r w:rsidRPr="00220DAC">
              <w:t xml:space="preserve">The application of a significant range of fundamental principles and complex techniques across a wide and often unpredictable variety of contexts in relation </w:t>
            </w:r>
            <w:r w:rsidRPr="00220DAC">
              <w:t xml:space="preserve">to either varied or highly specific functions. Contribution to the development of a broad plan, budget or strategy is involved and accountability and responsibility for self and others in achieving the outcomes is involved. </w:t>
            </w:r>
          </w:p>
          <w:p w:rsidR="00000000" w:rsidRPr="00220DAC" w:rsidRDefault="00BD4694" w:rsidP="00220DAC">
            <w:pPr>
              <w:pStyle w:val="BodyText"/>
            </w:pPr>
            <w:r w:rsidRPr="00220DAC">
              <w:t>Applications involve significan</w:t>
            </w:r>
            <w:r w:rsidRPr="00220DAC">
              <w:t xml:space="preserve">t judgement in planning, design, technical or leadership/guidance functions related to products, services, operations or procedures. </w:t>
            </w:r>
          </w:p>
          <w:p w:rsidR="00000000" w:rsidRPr="00220DAC" w:rsidRDefault="00BD4694" w:rsidP="00220DAC">
            <w:pPr>
              <w:pStyle w:val="BodyText"/>
            </w:pPr>
            <w:r w:rsidRPr="00220DAC">
              <w:t>The degree of emphasis on breadth as against depth of knowledge and skills may vary between qualifications granted at this</w:t>
            </w:r>
            <w:r w:rsidRPr="00220DAC">
              <w:t xml:space="preserve"> level. </w:t>
            </w:r>
          </w:p>
          <w:p w:rsidR="00000000" w:rsidRPr="00220DAC" w:rsidRDefault="00BD4694" w:rsidP="00220DAC">
            <w:pPr>
              <w:pStyle w:val="BodyText"/>
            </w:pPr>
            <w:r w:rsidRPr="00220DAC">
              <w:rPr>
                <w:rStyle w:val="Emphasis"/>
              </w:rPr>
              <w:t>Distinguishing Features of Learning Outcomes</w:t>
            </w:r>
            <w:r w:rsidRPr="00220DAC">
              <w:t xml:space="preserve"> </w:t>
            </w:r>
          </w:p>
          <w:p w:rsidR="00000000" w:rsidRPr="00220DAC" w:rsidRDefault="00BD4694" w:rsidP="00220DAC">
            <w:pPr>
              <w:pStyle w:val="BodyText"/>
            </w:pPr>
            <w:r w:rsidRPr="00220DAC">
              <w:t xml:space="preserve">Do the competencies or learning outcomes enable an individual with this qualification to: </w:t>
            </w:r>
          </w:p>
          <w:p w:rsidR="00000000" w:rsidRPr="00220DAC" w:rsidRDefault="00BD4694" w:rsidP="00220DAC">
            <w:pPr>
              <w:pStyle w:val="ListBullet"/>
            </w:pPr>
            <w:r w:rsidRPr="00220DAC">
              <w:t>demonstrate understanding of specialised knowledge with depth in some areas</w:t>
            </w:r>
          </w:p>
          <w:p w:rsidR="00000000" w:rsidRPr="00220DAC" w:rsidRDefault="00BD4694" w:rsidP="00220DAC">
            <w:pPr>
              <w:pStyle w:val="ListBullet"/>
            </w:pPr>
            <w:r w:rsidRPr="00220DAC">
              <w:t>analyse, diagnose, design and execute judgements across a broad range of technical or management functions</w:t>
            </w:r>
          </w:p>
          <w:p w:rsidR="00000000" w:rsidRPr="00220DAC" w:rsidRDefault="00BD4694" w:rsidP="00220DAC">
            <w:pPr>
              <w:pStyle w:val="ListBullet"/>
            </w:pPr>
            <w:r w:rsidRPr="00220DAC">
              <w:t>generate ideas through the analysis of information and concepts at an abstract level</w:t>
            </w:r>
          </w:p>
          <w:p w:rsidR="00000000" w:rsidRPr="00220DAC" w:rsidRDefault="00BD4694" w:rsidP="00220DAC">
            <w:pPr>
              <w:pStyle w:val="ListBullet"/>
            </w:pPr>
            <w:r w:rsidRPr="00220DAC">
              <w:t>demonstrate a command of wide-ranging, highly specialised technical, creative or conceptual skills</w:t>
            </w:r>
          </w:p>
          <w:p w:rsidR="00000000" w:rsidRPr="00220DAC" w:rsidRDefault="00BD4694" w:rsidP="00220DAC">
            <w:pPr>
              <w:pStyle w:val="ListBullet"/>
            </w:pPr>
            <w:r w:rsidRPr="00220DAC">
              <w:t>demonstrate accountability for personal outputs within broad parameters</w:t>
            </w:r>
          </w:p>
          <w:p w:rsidR="00000000" w:rsidRPr="00220DAC" w:rsidRDefault="00BD4694" w:rsidP="00220DAC">
            <w:pPr>
              <w:pStyle w:val="ListBullet"/>
            </w:pPr>
            <w:r w:rsidRPr="00220DAC">
              <w:t>demonstrate accountability for personal and group outcomes within broad parameters.</w:t>
            </w:r>
          </w:p>
        </w:tc>
      </w:tr>
    </w:tbl>
    <w:p w:rsidR="00000000" w:rsidRPr="00220DAC" w:rsidRDefault="00BD4694" w:rsidP="00220DAC">
      <w:pPr>
        <w:pStyle w:val="ListBullet"/>
      </w:pPr>
    </w:p>
    <w:tbl>
      <w:tblPr>
        <w:tblW w:w="0" w:type="auto"/>
        <w:tblInd w:w="360" w:type="dxa"/>
        <w:tblLayout w:type="fixed"/>
        <w:tblCellMar>
          <w:left w:w="62" w:type="dxa"/>
          <w:right w:w="62" w:type="dxa"/>
        </w:tblCellMar>
        <w:tblLook w:val="0000" w:firstRow="0" w:lastRow="0" w:firstColumn="0" w:lastColumn="0" w:noHBand="0" w:noVBand="0"/>
      </w:tblPr>
      <w:tblGrid>
        <w:gridCol w:w="8505"/>
      </w:tblGrid>
      <w:tr w:rsidR="00000000" w:rsidRPr="00220DAC" w:rsidTr="00220DAC">
        <w:tc>
          <w:tcPr>
            <w:tcW w:w="85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20DAC" w:rsidRDefault="00BD4694" w:rsidP="00220DAC">
            <w:pPr>
              <w:pStyle w:val="BodyText"/>
            </w:pPr>
            <w:r w:rsidRPr="00220DAC">
              <w:rPr>
                <w:rStyle w:val="SpecialBold"/>
              </w:rPr>
              <w:t>Vocational Graduate Certificate</w:t>
            </w:r>
          </w:p>
          <w:p w:rsidR="00000000" w:rsidRPr="00220DAC" w:rsidRDefault="00BD4694" w:rsidP="00220DAC">
            <w:pPr>
              <w:pStyle w:val="BodyText"/>
            </w:pPr>
            <w:r w:rsidRPr="00220DAC">
              <w:t>Characteristics of competencies or learning outcomes</w:t>
            </w:r>
          </w:p>
          <w:p w:rsidR="00000000" w:rsidRPr="00220DAC" w:rsidRDefault="00BD4694" w:rsidP="00220DAC">
            <w:pPr>
              <w:pStyle w:val="ListBullet"/>
            </w:pPr>
            <w:r w:rsidRPr="00220DAC">
              <w:t>The self-directed development and achievement of broad and specialised areas of knowledge and skills, building on prior knowledge and skills.</w:t>
            </w:r>
          </w:p>
          <w:p w:rsidR="00000000" w:rsidRPr="00220DAC" w:rsidRDefault="00BD4694" w:rsidP="00220DAC">
            <w:pPr>
              <w:pStyle w:val="ListBullet"/>
            </w:pPr>
            <w:r w:rsidRPr="00220DAC">
              <w:t>Subst</w:t>
            </w:r>
            <w:r w:rsidRPr="00220DAC">
              <w:t>antial breadth and complexity involving the initiation, analysis, design, planning, execution and evaluation of technical and management functions in highly varied and highly specialised contexts.</w:t>
            </w:r>
          </w:p>
          <w:p w:rsidR="00000000" w:rsidRPr="00220DAC" w:rsidRDefault="00BD4694" w:rsidP="00220DAC">
            <w:pPr>
              <w:pStyle w:val="ListBullet"/>
            </w:pPr>
            <w:r w:rsidRPr="00220DAC">
              <w:t>Applications involve making significant, high-level, indepe</w:t>
            </w:r>
            <w:r w:rsidRPr="00220DAC">
              <w:t>ndent judgements in major broad or planning, design, operational, technical and management functions in highly varied and specialised contexts. They may include responsibility and broad</w:t>
            </w:r>
            <w:r w:rsidRPr="00220DAC">
              <w:noBreakHyphen/>
              <w:t>ranging accountability for the structure, management and output of the</w:t>
            </w:r>
            <w:r w:rsidRPr="00220DAC">
              <w:t xml:space="preserve"> work or functions of others.</w:t>
            </w:r>
          </w:p>
          <w:p w:rsidR="00000000" w:rsidRPr="00220DAC" w:rsidRDefault="00BD4694" w:rsidP="00220DAC">
            <w:pPr>
              <w:pStyle w:val="ListBullet"/>
            </w:pPr>
            <w:r w:rsidRPr="00220DAC">
              <w:t>The degree of emphasis on breadth, as opposed to depth, of knowledge and skills may vary between qualifications granted at this level.</w:t>
            </w:r>
          </w:p>
          <w:p w:rsidR="00000000" w:rsidRPr="00220DAC" w:rsidRDefault="00BD4694" w:rsidP="00220DAC">
            <w:pPr>
              <w:pStyle w:val="BodyText"/>
            </w:pPr>
            <w:r w:rsidRPr="00220DAC">
              <w:lastRenderedPageBreak/>
              <w:t>Distinguishing features of learning outcomes</w:t>
            </w:r>
          </w:p>
          <w:p w:rsidR="00000000" w:rsidRPr="00220DAC" w:rsidRDefault="00BD4694" w:rsidP="00220DAC">
            <w:pPr>
              <w:pStyle w:val="ListBullet"/>
            </w:pPr>
            <w:r w:rsidRPr="00220DAC">
              <w:t>Demonstrate the self-directed development and</w:t>
            </w:r>
            <w:r w:rsidRPr="00220DAC">
              <w:t xml:space="preserve"> achievement of broad and specialised areas of knowledge and skills, building on prior knowledge and skills.</w:t>
            </w:r>
          </w:p>
          <w:p w:rsidR="00000000" w:rsidRPr="00220DAC" w:rsidRDefault="00BD4694" w:rsidP="00220DAC">
            <w:pPr>
              <w:pStyle w:val="ListBullet"/>
            </w:pPr>
            <w:r w:rsidRPr="00220DAC">
              <w:t>Initiate, analyse, design, plan, execute and evaluate major broad or technical and management functions in highly varied and highly specialised con</w:t>
            </w:r>
            <w:r w:rsidRPr="00220DAC">
              <w:t>texts.</w:t>
            </w:r>
          </w:p>
          <w:p w:rsidR="00000000" w:rsidRPr="00220DAC" w:rsidRDefault="00BD4694" w:rsidP="00220DAC">
            <w:pPr>
              <w:pStyle w:val="ListBullet"/>
            </w:pPr>
            <w:r w:rsidRPr="00220DAC">
              <w:t>Generate and evaluate ideas through the analysis of information and concepts at an abstract level.</w:t>
            </w:r>
          </w:p>
          <w:p w:rsidR="00000000" w:rsidRPr="00220DAC" w:rsidRDefault="00BD4694" w:rsidP="00220DAC">
            <w:pPr>
              <w:pStyle w:val="ListBullet"/>
            </w:pPr>
            <w:r w:rsidRPr="00220DAC">
              <w:t>Demonstrate a command of wide-ranging, highly specialised technical, creative or conceptual skills in complex contexts.</w:t>
            </w:r>
          </w:p>
          <w:p w:rsidR="00000000" w:rsidRPr="00220DAC" w:rsidRDefault="00BD4694" w:rsidP="00220DAC">
            <w:pPr>
              <w:pStyle w:val="ListBullet"/>
            </w:pPr>
            <w:r w:rsidRPr="00220DAC">
              <w:t>Demonstrate responsibility and</w:t>
            </w:r>
            <w:r w:rsidRPr="00220DAC">
              <w:t xml:space="preserve"> broad-ranging accountability for the structure, management and output of the work or functions of others.</w:t>
            </w:r>
          </w:p>
          <w:p w:rsidR="00000000" w:rsidRPr="00220DAC" w:rsidRDefault="00BD4694" w:rsidP="00220DAC">
            <w:pPr>
              <w:pStyle w:val="BodyText"/>
            </w:pPr>
          </w:p>
        </w:tc>
      </w:tr>
    </w:tbl>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505"/>
      </w:tblGrid>
      <w:tr w:rsidR="00000000" w:rsidRPr="00220DAC" w:rsidTr="00BD4694">
        <w:tc>
          <w:tcPr>
            <w:tcW w:w="850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r w:rsidRPr="00220DAC">
              <w:rPr>
                <w:rStyle w:val="SpecialBold"/>
              </w:rPr>
              <w:t>Vocational Graduate Diploma</w:t>
            </w:r>
          </w:p>
          <w:p w:rsidR="00000000" w:rsidRPr="00220DAC" w:rsidRDefault="00BD4694" w:rsidP="00220DAC">
            <w:pPr>
              <w:pStyle w:val="BodyText"/>
            </w:pPr>
            <w:r w:rsidRPr="00220DAC">
              <w:t>Characteristics of competencies or learning outcomes</w:t>
            </w:r>
          </w:p>
          <w:p w:rsidR="00000000" w:rsidRPr="00220DAC" w:rsidRDefault="00BD4694" w:rsidP="00220DAC">
            <w:pPr>
              <w:pStyle w:val="ListBullet"/>
            </w:pPr>
            <w:r w:rsidRPr="00220DAC">
              <w:t>The self-directed development and achievement of broad and speci</w:t>
            </w:r>
            <w:r w:rsidRPr="00220DAC">
              <w:t>alised areas of knowledge and skills, building on prior knowledge and skills.</w:t>
            </w:r>
          </w:p>
          <w:p w:rsidR="00000000" w:rsidRPr="00220DAC" w:rsidRDefault="00BD4694" w:rsidP="00220DAC">
            <w:pPr>
              <w:pStyle w:val="ListBullet"/>
            </w:pPr>
            <w:r w:rsidRPr="00220DAC">
              <w:t>Substantial breadth, depth and complexity involving the initiation, analysis, design, planning, execution and evaluation of major functions, both broad and highly specialised, in highly varied and highly specialised contexts.</w:t>
            </w:r>
          </w:p>
          <w:p w:rsidR="00000000" w:rsidRPr="00220DAC" w:rsidRDefault="00BD4694" w:rsidP="00220DAC">
            <w:pPr>
              <w:pStyle w:val="ListBullet"/>
            </w:pPr>
            <w:r w:rsidRPr="00220DAC">
              <w:t xml:space="preserve">Further specialisation within </w:t>
            </w:r>
            <w:r w:rsidRPr="00220DAC">
              <w:t>a systematic and coherent body of knowledge.</w:t>
            </w:r>
          </w:p>
          <w:p w:rsidR="00000000" w:rsidRPr="00220DAC" w:rsidRDefault="00BD4694" w:rsidP="00220DAC">
            <w:pPr>
              <w:pStyle w:val="ListBullet"/>
            </w:pPr>
            <w:r w:rsidRPr="00220DAC">
              <w:t>Applications involve making high-level, fully independent, complex judgements in broad planning, design, operational, technical and management functions in highly varied and highly specialised contexts. They may</w:t>
            </w:r>
            <w:r w:rsidRPr="00220DAC">
              <w:t xml:space="preserve"> include full responsibility and accountability for all aspects of work and functions of others, including planning, budgeting and strategy development.</w:t>
            </w:r>
          </w:p>
          <w:p w:rsidR="00000000" w:rsidRPr="00220DAC" w:rsidRDefault="00BD4694" w:rsidP="00220DAC">
            <w:pPr>
              <w:pStyle w:val="ListBullet"/>
            </w:pPr>
            <w:r w:rsidRPr="00220DAC">
              <w:t>The degree of emphasis on breadth, as opposed to depth, of knowledge and skills may vary between qualif</w:t>
            </w:r>
            <w:r w:rsidRPr="00220DAC">
              <w:t>ications granted at this level.</w:t>
            </w:r>
          </w:p>
          <w:p w:rsidR="00000000" w:rsidRPr="00220DAC" w:rsidRDefault="00BD4694" w:rsidP="00220DAC">
            <w:pPr>
              <w:pStyle w:val="BodyText"/>
            </w:pPr>
            <w:r w:rsidRPr="00220DAC">
              <w:t>Distinguishing features of learning outcomes</w:t>
            </w:r>
          </w:p>
          <w:p w:rsidR="00000000" w:rsidRPr="00220DAC" w:rsidRDefault="00BD4694" w:rsidP="00220DAC">
            <w:pPr>
              <w:pStyle w:val="ListBullet"/>
            </w:pPr>
            <w:r w:rsidRPr="00220DAC">
              <w:t>Demonstrate the self-directed development and achievement of broad and highly specialised areas of knowledge and skills, building on prior knowledge and skills.</w:t>
            </w:r>
          </w:p>
          <w:p w:rsidR="00000000" w:rsidRPr="00220DAC" w:rsidRDefault="00BD4694" w:rsidP="00220DAC">
            <w:pPr>
              <w:pStyle w:val="ListBullet"/>
            </w:pPr>
            <w:r w:rsidRPr="00220DAC">
              <w:t>Initiate, analyse</w:t>
            </w:r>
            <w:r w:rsidRPr="00220DAC">
              <w:t>, design, plan, execute and evaluate major functions, both broad and within highly varied and highly specialised contexts.</w:t>
            </w:r>
          </w:p>
          <w:p w:rsidR="00000000" w:rsidRPr="00220DAC" w:rsidRDefault="00BD4694" w:rsidP="00220DAC">
            <w:pPr>
              <w:pStyle w:val="ListBullet"/>
            </w:pPr>
            <w:r w:rsidRPr="00220DAC">
              <w:t>Generate and evaluate complex ideas through the analysis of information and concepts at an abstract level.</w:t>
            </w:r>
          </w:p>
          <w:p w:rsidR="00000000" w:rsidRPr="00220DAC" w:rsidRDefault="00BD4694" w:rsidP="00220DAC">
            <w:pPr>
              <w:pStyle w:val="ListBullet"/>
            </w:pPr>
            <w:r w:rsidRPr="00220DAC">
              <w:t>Demonstrate an expert comm</w:t>
            </w:r>
            <w:r w:rsidRPr="00220DAC">
              <w:t>and of wide-ranging, highly specialised, technical, creative or conceptual skills in complex and highly specialised or varied contexts.</w:t>
            </w:r>
          </w:p>
          <w:p w:rsidR="00000000" w:rsidRPr="00220DAC" w:rsidRDefault="00BD4694" w:rsidP="00220DAC">
            <w:pPr>
              <w:pStyle w:val="ListBullet"/>
            </w:pPr>
            <w:r w:rsidRPr="00220DAC">
              <w:t>Demonstrate full responsibility and accountability for personal outputs.</w:t>
            </w:r>
          </w:p>
          <w:p w:rsidR="00000000" w:rsidRPr="00220DAC" w:rsidRDefault="00BD4694" w:rsidP="00220DAC">
            <w:pPr>
              <w:pStyle w:val="ListBullet"/>
            </w:pPr>
            <w:r w:rsidRPr="00220DAC">
              <w:t>Demonstrate full responsibility and accountabil</w:t>
            </w:r>
            <w:r w:rsidRPr="00220DAC">
              <w:t>ity for all aspects of the work or functions of others, including planning, budgeting and strategy.</w:t>
            </w:r>
          </w:p>
          <w:p w:rsidR="00000000" w:rsidRPr="00220DAC" w:rsidRDefault="00BD4694" w:rsidP="00220DAC">
            <w:pPr>
              <w:pStyle w:val="BodyText"/>
            </w:pPr>
          </w:p>
        </w:tc>
      </w:tr>
    </w:tbl>
    <w:p w:rsidR="00000000" w:rsidRPr="00220DAC" w:rsidRDefault="00BD4694" w:rsidP="00220DAC">
      <w:pPr>
        <w:pStyle w:val="BodyText"/>
      </w:pPr>
    </w:p>
    <w:p w:rsidR="00000000" w:rsidRPr="00220DAC" w:rsidRDefault="00BD4694" w:rsidP="00220DAC">
      <w:pPr>
        <w:pStyle w:val="Heading2"/>
      </w:pPr>
      <w:r w:rsidRPr="00220DAC">
        <w:t>Qualifications and Packaging Rules</w:t>
      </w:r>
    </w:p>
    <w:p w:rsidR="00000000" w:rsidRPr="00220DAC" w:rsidRDefault="00BD4694" w:rsidP="00220DAC">
      <w:pPr>
        <w:pStyle w:val="BodyText"/>
      </w:pPr>
      <w:r w:rsidRPr="00220DAC">
        <w:rPr>
          <w:rStyle w:val="SpecialBold"/>
        </w:rPr>
        <w:t xml:space="preserve">List of AQF Qualifications </w:t>
      </w:r>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3316"/>
        <w:gridCol w:w="5818"/>
      </w:tblGrid>
      <w:tr w:rsidR="00000000" w:rsidTr="00220DAC">
        <w:trPr>
          <w:trHeight w:val="274"/>
          <w:tblHeader/>
        </w:trPr>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Qualification Code</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Title</w:t>
            </w:r>
          </w:p>
        </w:tc>
      </w:tr>
      <w:tr w:rsidR="00000000" w:rsidTr="00220DAC">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FPP20110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 xml:space="preserve">Certificate II in Pulping Operations </w:t>
            </w:r>
          </w:p>
        </w:tc>
      </w:tr>
      <w:tr w:rsidR="00000000" w:rsidTr="00220DAC">
        <w:trPr>
          <w:trHeight w:val="309"/>
        </w:trPr>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FPP20210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 xml:space="preserve">Certificate II in Papermaking Operations </w:t>
            </w:r>
          </w:p>
        </w:tc>
      </w:tr>
      <w:tr w:rsidR="00000000" w:rsidTr="00220DAC">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FPP30110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 xml:space="preserve">Certificate III in Pulping Operations </w:t>
            </w:r>
          </w:p>
        </w:tc>
      </w:tr>
      <w:tr w:rsidR="00000000" w:rsidTr="00220DAC">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FPP30210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 xml:space="preserve">Certificate III in Papermaking Operations </w:t>
            </w:r>
          </w:p>
        </w:tc>
      </w:tr>
      <w:tr w:rsidR="00000000" w:rsidTr="00220DAC">
        <w:trPr>
          <w:trHeight w:val="309"/>
        </w:trPr>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FPP40110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 xml:space="preserve">Certificate IV in Pulping Operations </w:t>
            </w:r>
          </w:p>
        </w:tc>
      </w:tr>
      <w:tr w:rsidR="00000000" w:rsidTr="00220DAC">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FPP40210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 xml:space="preserve">Certificate IV in Papermaking Operations </w:t>
            </w:r>
          </w:p>
        </w:tc>
      </w:tr>
      <w:tr w:rsidR="00000000" w:rsidRPr="00220DAC" w:rsidTr="00220DAC">
        <w:tc>
          <w:tcPr>
            <w:tcW w:w="33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4694" w:rsidP="00220DAC">
            <w:pPr>
              <w:pStyle w:val="BodyText"/>
              <w:rPr>
                <w:lang w:val="en-NZ"/>
              </w:rPr>
            </w:pPr>
            <w:r w:rsidRPr="00220DAC">
              <w:t>FPP50110</w:t>
            </w:r>
          </w:p>
        </w:tc>
        <w:tc>
          <w:tcPr>
            <w:tcW w:w="58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r w:rsidRPr="00220DAC">
              <w:t>Diploma of Pulp and Paper Process Management</w:t>
            </w:r>
          </w:p>
        </w:tc>
      </w:tr>
    </w:tbl>
    <w:p w:rsidR="00000000" w:rsidRPr="00220DAC" w:rsidRDefault="00BD4694" w:rsidP="00220DAC">
      <w:pPr>
        <w:pStyle w:val="BodyText"/>
      </w:pPr>
    </w:p>
    <w:p w:rsidR="00000000" w:rsidRPr="00220DAC" w:rsidRDefault="00BD4694" w:rsidP="00220DAC">
      <w:pPr>
        <w:pStyle w:val="BodyText"/>
      </w:pPr>
    </w:p>
    <w:p w:rsidR="00000000" w:rsidRPr="00220DAC" w:rsidRDefault="00BD4694" w:rsidP="00220DAC">
      <w:pPr>
        <w:pStyle w:val="Heading2"/>
      </w:pPr>
      <w:r w:rsidRPr="00220DAC">
        <w:t>Background</w:t>
      </w:r>
    </w:p>
    <w:p w:rsidR="00000000" w:rsidRPr="00220DAC" w:rsidRDefault="00BD4694" w:rsidP="00220DAC">
      <w:pPr>
        <w:pStyle w:val="BodyText"/>
      </w:pPr>
      <w:r w:rsidRPr="00220DAC">
        <w:t>The qualifications structure of FPP10:</w:t>
      </w:r>
    </w:p>
    <w:p w:rsidR="00000000" w:rsidRPr="00220DAC" w:rsidRDefault="00BD4694" w:rsidP="00220DAC">
      <w:pPr>
        <w:pStyle w:val="ListBullet"/>
      </w:pPr>
      <w:r w:rsidRPr="00220DAC">
        <w:t>offers a qualifications framework which is applicable and flexible for enterprises and individuals</w:t>
      </w:r>
    </w:p>
    <w:p w:rsidR="00000000" w:rsidRPr="00220DAC" w:rsidRDefault="00BD4694" w:rsidP="00220DAC">
      <w:pPr>
        <w:pStyle w:val="ListBullet"/>
      </w:pPr>
      <w:r w:rsidRPr="00220DAC">
        <w:t>accurately reflects the actual skills required by the workforce, both now and into the future</w:t>
      </w:r>
    </w:p>
    <w:p w:rsidR="00000000" w:rsidRPr="00220DAC" w:rsidRDefault="00BD4694" w:rsidP="00220DAC">
      <w:pPr>
        <w:pStyle w:val="ListBullet"/>
      </w:pPr>
      <w:r w:rsidRPr="00220DAC">
        <w:t>includes a range of competencies that are flexible enough to be customised to the specific needs of the enterprise</w:t>
      </w:r>
    </w:p>
    <w:p w:rsidR="00000000" w:rsidRPr="00220DAC" w:rsidRDefault="00BD4694" w:rsidP="00220DAC">
      <w:pPr>
        <w:pStyle w:val="ListBullet"/>
      </w:pPr>
      <w:r w:rsidRPr="00220DAC">
        <w:t xml:space="preserve">provides learning and articulated pathways for </w:t>
      </w:r>
      <w:r w:rsidRPr="00220DAC">
        <w:t>the attainment of competencies and, ultimately, full qualifications</w:t>
      </w:r>
    </w:p>
    <w:p w:rsidR="00000000" w:rsidRPr="00220DAC" w:rsidRDefault="00BD4694" w:rsidP="00220DAC">
      <w:pPr>
        <w:pStyle w:val="ListBullet"/>
      </w:pPr>
      <w:r w:rsidRPr="00220DAC">
        <w:t xml:space="preserve">provides effective qualifications at the higher AQF levels (Certificate IV and Diploma) that suit industry needs for a technical qualification and a management focused qualification, or a </w:t>
      </w:r>
      <w:r w:rsidRPr="00220DAC">
        <w:t>balance of both</w:t>
      </w:r>
    </w:p>
    <w:p w:rsidR="00000000" w:rsidRPr="00220DAC" w:rsidRDefault="00BD4694" w:rsidP="00220DAC">
      <w:pPr>
        <w:pStyle w:val="ListBullet"/>
      </w:pPr>
      <w:r w:rsidRPr="00220DAC">
        <w:t>accommodates the evolving and emerging needs of a diverse and changing industry</w:t>
      </w:r>
    </w:p>
    <w:p w:rsidR="00000000" w:rsidRPr="00220DAC" w:rsidRDefault="00BD4694" w:rsidP="00220DAC">
      <w:pPr>
        <w:pStyle w:val="ListBullet"/>
      </w:pPr>
      <w:r w:rsidRPr="00220DAC">
        <w:t>has embedded sustainability skills within the competencies</w:t>
      </w:r>
    </w:p>
    <w:p w:rsidR="00000000" w:rsidRPr="00220DAC" w:rsidRDefault="00BD4694" w:rsidP="00220DAC">
      <w:pPr>
        <w:pStyle w:val="BodyText"/>
      </w:pPr>
    </w:p>
    <w:p w:rsidR="00000000" w:rsidRPr="00220DAC" w:rsidRDefault="00BD4694" w:rsidP="00220DAC">
      <w:pPr>
        <w:pStyle w:val="Heading2"/>
      </w:pPr>
      <w:r w:rsidRPr="00220DAC">
        <w:t>Structure of the Qualifications</w:t>
      </w:r>
    </w:p>
    <w:p w:rsidR="00000000" w:rsidRPr="00220DAC" w:rsidRDefault="00BD4694" w:rsidP="00220DAC">
      <w:pPr>
        <w:pStyle w:val="BodyText"/>
      </w:pPr>
      <w:r w:rsidRPr="00220DAC">
        <w:t>The qualification packaging rules provide maximum flexibility throug</w:t>
      </w:r>
      <w:r w:rsidRPr="00220DAC">
        <w:t>h the identification of mandatory units to meet occupational requirements, provision of a choice of electives to ensure enterprise needs are met, and the incorporation of relevant units from other endorsed Training Packages to facilitate portability of qua</w:t>
      </w:r>
      <w:r w:rsidRPr="00220DAC">
        <w:t>lifications.</w:t>
      </w:r>
    </w:p>
    <w:p w:rsidR="00000000" w:rsidRPr="00220DAC" w:rsidRDefault="00BD4694" w:rsidP="00220DAC">
      <w:pPr>
        <w:pStyle w:val="BodyText"/>
      </w:pPr>
      <w:r w:rsidRPr="00220DAC">
        <w:lastRenderedPageBreak/>
        <w:t>Industry qualifications are presented as Certificates II, III or IV in Pulping Operations or Certificates II, III or IV in Papermaking Operations.  The Diploma of Pulp and Paper Process Management completes the progression of career path oppor</w:t>
      </w:r>
      <w:r w:rsidRPr="00220DAC">
        <w:t>tunities for people within the industry.</w:t>
      </w:r>
    </w:p>
    <w:p w:rsidR="00000000" w:rsidRPr="00220DAC" w:rsidRDefault="00BD4694" w:rsidP="00220DAC">
      <w:pPr>
        <w:pStyle w:val="BodyText"/>
      </w:pPr>
      <w:r w:rsidRPr="00220DAC">
        <w:t>Services specialisations are available via both pulping and papermaking operations qualifications.</w:t>
      </w:r>
    </w:p>
    <w:p w:rsidR="00000000" w:rsidRPr="00220DAC" w:rsidRDefault="00BD4694" w:rsidP="00220DAC">
      <w:pPr>
        <w:pStyle w:val="BodyText"/>
      </w:pPr>
      <w:r w:rsidRPr="00220DAC">
        <w:t xml:space="preserve">The two ‘streams’ of qualifications are necessary in the pulp and paper manufacturing industry. Some mills are pulp </w:t>
      </w:r>
      <w:r w:rsidRPr="00220DAC">
        <w:t>mills, some are paper mills, and some are both. The delineation between the two groupings of qualifications enables companies to clearly differentiate between the groupings of competencies based on the mills’ operations.</w:t>
      </w:r>
    </w:p>
    <w:p w:rsidR="00000000" w:rsidRPr="00220DAC" w:rsidRDefault="00BD4694" w:rsidP="00220DAC">
      <w:pPr>
        <w:pStyle w:val="BodyText"/>
      </w:pPr>
      <w:r w:rsidRPr="00220DAC">
        <w:t xml:space="preserve">Support electives reflect industry </w:t>
      </w:r>
      <w:r w:rsidRPr="00220DAC">
        <w:t xml:space="preserve">specific elective units. </w:t>
      </w:r>
    </w:p>
    <w:p w:rsidR="00000000" w:rsidRPr="00220DAC" w:rsidRDefault="00BD4694" w:rsidP="00220DAC">
      <w:pPr>
        <w:pStyle w:val="BodyText"/>
      </w:pPr>
      <w:r w:rsidRPr="00220DAC">
        <w:t>Industry specific elective units are the ‘lead’ units that shape the qualification.</w:t>
      </w:r>
    </w:p>
    <w:p w:rsidR="00000000" w:rsidRPr="00220DAC" w:rsidRDefault="00BD4694" w:rsidP="00220DAC">
      <w:pPr>
        <w:pStyle w:val="BodyText"/>
      </w:pPr>
      <w:r w:rsidRPr="00220DAC">
        <w:t xml:space="preserve">There are a few unit ‘groups’ that run across both types of operations – pulp </w:t>
      </w:r>
      <w:r w:rsidRPr="00220DAC">
        <w:rPr>
          <w:rStyle w:val="Emphasis"/>
        </w:rPr>
        <w:t>and</w:t>
      </w:r>
      <w:r w:rsidRPr="00220DAC">
        <w:t xml:space="preserve"> paper, so the corresponding units are included in both qualifica</w:t>
      </w:r>
      <w:r w:rsidRPr="00220DAC">
        <w:t>tion ‘streams’ (Chemical recovery, Water services, Steam generation and Power generation)</w:t>
      </w:r>
    </w:p>
    <w:p w:rsidR="00000000" w:rsidRPr="00220DAC" w:rsidRDefault="00BD4694" w:rsidP="00220DAC">
      <w:pPr>
        <w:pStyle w:val="BodyText"/>
      </w:pPr>
      <w:r w:rsidRPr="00220DAC">
        <w:t xml:space="preserve">Skill Sets in this Training Package </w:t>
      </w:r>
    </w:p>
    <w:p w:rsidR="00000000" w:rsidRPr="00220DAC" w:rsidRDefault="00BD4694" w:rsidP="00220DAC">
      <w:pPr>
        <w:pStyle w:val="BodyText"/>
      </w:pPr>
      <w:r w:rsidRPr="00220DAC">
        <w:t xml:space="preserve">Nationally recognised Skill Sets are yet to be identified in this industry. </w:t>
      </w:r>
    </w:p>
    <w:p w:rsidR="00000000" w:rsidRPr="00220DAC" w:rsidRDefault="00BD4694" w:rsidP="00220DAC">
      <w:pPr>
        <w:pStyle w:val="BodyText"/>
      </w:pPr>
      <w:r w:rsidRPr="00220DAC">
        <w:t>Qualification Pathways</w:t>
      </w:r>
    </w:p>
    <w:p w:rsidR="00000000" w:rsidRPr="00220DAC" w:rsidRDefault="00BD4694" w:rsidP="00220DAC">
      <w:pPr>
        <w:pStyle w:val="BodyText"/>
      </w:pPr>
      <w:r w:rsidRPr="00220DAC">
        <w:t>A pathways charts is provided to show the types of pathways into and from qualifications that are possible with this Training Package</w:t>
      </w:r>
    </w:p>
    <w:p w:rsidR="00000000" w:rsidRPr="00220DAC" w:rsidRDefault="00BD4694" w:rsidP="00220DAC">
      <w:pPr>
        <w:pStyle w:val="BodyText"/>
      </w:pPr>
    </w:p>
    <w:p w:rsidR="00000000" w:rsidRPr="00220DAC" w:rsidRDefault="00BD4694" w:rsidP="00220DAC">
      <w:pPr>
        <w:pStyle w:val="Heading2"/>
      </w:pPr>
      <w:r w:rsidRPr="00220DAC">
        <w:t>Qualification Pathways</w:t>
      </w:r>
    </w:p>
    <w:p w:rsidR="00000000" w:rsidRPr="00220DAC" w:rsidRDefault="00BD4694" w:rsidP="00220DAC">
      <w:pPr>
        <w:pStyle w:val="BodyText"/>
      </w:pPr>
      <w:r w:rsidRPr="00220DAC">
        <w:t>The following pathways charts are provided to show the types of pathways into and from qualificati</w:t>
      </w:r>
      <w:r w:rsidRPr="00220DAC">
        <w:t xml:space="preserve">ons that are possible with this Training Package. For more information about qualifications and pathways contact ForestWorks ISC www.forestworks.com.au </w:t>
      </w:r>
    </w:p>
    <w:p w:rsidR="00000000" w:rsidRPr="00220DAC" w:rsidRDefault="00BD4694" w:rsidP="00220DAC">
      <w:pPr>
        <w:pStyle w:val="BodyText"/>
      </w:pPr>
    </w:p>
    <w:p w:rsidR="00000000" w:rsidRPr="00220DAC" w:rsidRDefault="00BD4694" w:rsidP="00220DAC">
      <w:pPr>
        <w:pStyle w:val="BodyText"/>
        <w:keepNext w:val="0"/>
      </w:pPr>
      <w:bookmarkStart w:id="18" w:name="O_535034"/>
      <w:r>
        <w:lastRenderedPageBreak/>
        <w:pict>
          <v:shape id="_x0000_i1050" type="#_x0000_t75" style="width:506.25pt;height:715.5pt">
            <v:imagedata r:id="rId17" o:title=""/>
          </v:shape>
        </w:pict>
      </w:r>
      <w:bookmarkEnd w:id="18"/>
    </w:p>
    <w:p w:rsidR="00000000" w:rsidRPr="00220DAC" w:rsidRDefault="00BD4694" w:rsidP="00220DAC">
      <w:pPr>
        <w:pStyle w:val="AllowPageBreak"/>
      </w:pPr>
    </w:p>
    <w:p w:rsidR="00000000" w:rsidRPr="00220DAC" w:rsidRDefault="00BD4694" w:rsidP="00220DAC">
      <w:pPr>
        <w:pStyle w:val="SuperHeading"/>
      </w:pPr>
      <w:bookmarkStart w:id="19" w:name="O_515221"/>
      <w:bookmarkStart w:id="20" w:name="_Toc394059861"/>
      <w:bookmarkEnd w:id="19"/>
      <w:r w:rsidRPr="00220DAC">
        <w:lastRenderedPageBreak/>
        <w:t>Assessment Guidelines</w:t>
      </w:r>
      <w:bookmarkEnd w:id="20"/>
    </w:p>
    <w:p w:rsidR="00000000" w:rsidRPr="00220DAC" w:rsidRDefault="00BD4694" w:rsidP="00220DAC">
      <w:pPr>
        <w:pStyle w:val="Heading1"/>
      </w:pPr>
      <w:r w:rsidRPr="00220DAC">
        <w:t>Assessment Guidelines</w:t>
      </w:r>
    </w:p>
    <w:p w:rsidR="00000000" w:rsidRPr="00220DAC" w:rsidRDefault="00BD4694" w:rsidP="00220DAC">
      <w:pPr>
        <w:pStyle w:val="BodyText"/>
      </w:pPr>
      <w:r w:rsidRPr="00220DAC">
        <w:rPr>
          <w:rStyle w:val="SpecialBold"/>
        </w:rPr>
        <w:t>Introduction</w:t>
      </w:r>
    </w:p>
    <w:p w:rsidR="00000000" w:rsidRPr="00220DAC" w:rsidRDefault="00BD4694" w:rsidP="00220DAC">
      <w:pPr>
        <w:pStyle w:val="BodyText"/>
      </w:pPr>
      <w:r w:rsidRPr="00220DAC">
        <w:t>These Assessment Guidelines provide the endorsed framework for assessment of units of co</w:t>
      </w:r>
      <w:r w:rsidRPr="00220DAC">
        <w:t xml:space="preserve">mpetency in this Training Package. They are designed to ensure that assessment is consistent with the </w:t>
      </w:r>
      <w:r w:rsidRPr="00220DAC">
        <w:rPr>
          <w:rStyle w:val="Emphasis"/>
        </w:rPr>
        <w:t>Australian Quality Training Framework (AQTF) Essential Standards for Initial and Continuing Registration</w:t>
      </w:r>
      <w:r w:rsidRPr="00220DAC">
        <w:t>. Assessments against the units of competency in t</w:t>
      </w:r>
      <w:r w:rsidRPr="00220DAC">
        <w:t xml:space="preserve">his Training Package must be carried out in accordance with these Assessment Guidelines. </w:t>
      </w:r>
    </w:p>
    <w:p w:rsidR="00000000" w:rsidRPr="00220DAC" w:rsidRDefault="00BD4694" w:rsidP="00220DAC">
      <w:pPr>
        <w:pStyle w:val="BodyText"/>
      </w:pPr>
      <w:r w:rsidRPr="00220DAC">
        <w:rPr>
          <w:rStyle w:val="SpecialBold"/>
        </w:rPr>
        <w:t>Assessment System Overview</w:t>
      </w:r>
    </w:p>
    <w:p w:rsidR="00000000" w:rsidRPr="00220DAC" w:rsidRDefault="00BD4694" w:rsidP="00220DAC">
      <w:pPr>
        <w:pStyle w:val="BodyText"/>
      </w:pPr>
      <w:r w:rsidRPr="00220DAC">
        <w:t>This section provides an overview of the requirements for assessment when using this Training Package, including a summary of the AQTF requ</w:t>
      </w:r>
      <w:r w:rsidRPr="00220DAC">
        <w:t>irements; licensing and registration requirements; and assessment pathways.</w:t>
      </w:r>
    </w:p>
    <w:p w:rsidR="00000000" w:rsidRPr="00220DAC" w:rsidRDefault="00BD4694" w:rsidP="00220DAC">
      <w:pPr>
        <w:pStyle w:val="BodyText"/>
      </w:pPr>
      <w:r w:rsidRPr="00220DAC">
        <w:t>Quality assessment underpins the credibility of the vocational education and training sector. The Assessment Guidelines of a Training Package are an important tool in supporting qu</w:t>
      </w:r>
      <w:r w:rsidRPr="00220DAC">
        <w:t>ality assessment.</w:t>
      </w:r>
    </w:p>
    <w:p w:rsidR="00000000" w:rsidRPr="00220DAC" w:rsidRDefault="00BD4694" w:rsidP="00220DAC">
      <w:pPr>
        <w:pStyle w:val="BodyText"/>
      </w:pPr>
      <w:r w:rsidRPr="00220DAC">
        <w:t>Assessment within the National Skills Framework is the process of collecting evidence and making judgements about whether competency has been achieved to confirm whether an individual can perform to the standards expected in the workplace</w:t>
      </w:r>
      <w:r w:rsidRPr="00220DAC">
        <w:t>, as expressed in the relevant endorsed unit of competency.</w:t>
      </w:r>
    </w:p>
    <w:p w:rsidR="00000000" w:rsidRPr="00220DAC" w:rsidRDefault="00BD4694" w:rsidP="00220DAC">
      <w:pPr>
        <w:pStyle w:val="BodyText"/>
      </w:pPr>
      <w:r w:rsidRPr="00220DAC">
        <w:t>Assessment must be carried out in accordance with the:</w:t>
      </w:r>
    </w:p>
    <w:p w:rsidR="00000000" w:rsidRPr="00220DAC" w:rsidRDefault="00BD4694" w:rsidP="00220DAC">
      <w:pPr>
        <w:pStyle w:val="ListBullet2"/>
      </w:pPr>
      <w:r w:rsidRPr="00220DAC">
        <w:t>benchmarks for assessment</w:t>
      </w:r>
    </w:p>
    <w:p w:rsidR="00000000" w:rsidRPr="00220DAC" w:rsidRDefault="00BD4694" w:rsidP="00220DAC">
      <w:pPr>
        <w:pStyle w:val="ListBullet2"/>
      </w:pPr>
      <w:r w:rsidRPr="00220DAC">
        <w:t xml:space="preserve">specific industry requirements </w:t>
      </w:r>
    </w:p>
    <w:p w:rsidR="00000000" w:rsidRPr="00220DAC" w:rsidRDefault="00BD4694" w:rsidP="00220DAC">
      <w:pPr>
        <w:pStyle w:val="ListBullet2"/>
      </w:pPr>
      <w:r w:rsidRPr="00220DAC">
        <w:t>principles of assessment</w:t>
      </w:r>
    </w:p>
    <w:p w:rsidR="00000000" w:rsidRPr="00220DAC" w:rsidRDefault="00BD4694" w:rsidP="00220DAC">
      <w:pPr>
        <w:pStyle w:val="ListBullet2"/>
      </w:pPr>
      <w:r w:rsidRPr="00220DAC">
        <w:t>rules of evidence</w:t>
      </w:r>
    </w:p>
    <w:p w:rsidR="00000000" w:rsidRPr="00220DAC" w:rsidRDefault="00BD4694" w:rsidP="00220DAC">
      <w:pPr>
        <w:pStyle w:val="ListBullet2"/>
      </w:pPr>
      <w:r w:rsidRPr="00220DAC">
        <w:t>assessment requirements set out in the AQTF</w:t>
      </w:r>
    </w:p>
    <w:p w:rsidR="00000000" w:rsidRPr="00220DAC" w:rsidRDefault="00BD4694" w:rsidP="00220DAC">
      <w:pPr>
        <w:pStyle w:val="BodyText"/>
      </w:pPr>
      <w:r w:rsidRPr="00220DAC">
        <w:rPr>
          <w:rStyle w:val="SpecialBold"/>
        </w:rPr>
        <w:t>Benchmarks for Assessment</w:t>
      </w:r>
    </w:p>
    <w:p w:rsidR="00000000" w:rsidRPr="00220DAC" w:rsidRDefault="00BD4694" w:rsidP="00220DAC">
      <w:pPr>
        <w:pStyle w:val="BodyText"/>
      </w:pPr>
      <w:r w:rsidRPr="00220DAC">
        <w:t>The endorsed units of competency in this Training Package are the benchmarks for assessment. As such, they provide the basis for nationally recognised Australian Qualifications Framework</w:t>
      </w:r>
      <w:r w:rsidRPr="00220DAC">
        <w:t xml:space="preserve"> (AQF) qualifications and Statements of Attainment issued by Registered Training Organisations (RTOs). </w:t>
      </w:r>
    </w:p>
    <w:p w:rsidR="00000000" w:rsidRPr="00220DAC" w:rsidRDefault="00BD4694" w:rsidP="00220DAC">
      <w:pPr>
        <w:pStyle w:val="BodyText"/>
      </w:pPr>
      <w:r w:rsidRPr="00220DAC">
        <w:rPr>
          <w:rStyle w:val="SpecialBold"/>
        </w:rPr>
        <w:t>Industry Requirements</w:t>
      </w:r>
    </w:p>
    <w:p w:rsidR="00000000" w:rsidRPr="00220DAC" w:rsidRDefault="00BD4694" w:rsidP="00220DAC">
      <w:pPr>
        <w:pStyle w:val="BodyText"/>
      </w:pPr>
      <w:r w:rsidRPr="00220DAC">
        <w:t>The Pulp and Paper Industry is traditionally a high speed and technologically complex industry. It is typically characterised by c</w:t>
      </w:r>
      <w:r w:rsidRPr="00220DAC">
        <w:t>ontinuous processing integrated operations. The speed, complexity of technology and aggregation of different systems are well served by workplace training and assessment. It is common practice for workplace training and assessment to be conducted in the Pu</w:t>
      </w:r>
      <w:r w:rsidRPr="00220DAC">
        <w:t>lp and Paper Industry consistent with benchmarks contained in the endorsed units of competency and auspiced through registered training organisations.</w:t>
      </w:r>
    </w:p>
    <w:p w:rsidR="00000000" w:rsidRPr="00220DAC" w:rsidRDefault="00BD4694" w:rsidP="00220DAC">
      <w:pPr>
        <w:pStyle w:val="BodyText"/>
      </w:pPr>
    </w:p>
    <w:p w:rsidR="00000000" w:rsidRPr="00220DAC" w:rsidRDefault="00BD4694" w:rsidP="00220DAC">
      <w:pPr>
        <w:pStyle w:val="BodyText"/>
      </w:pPr>
      <w:r w:rsidRPr="00220DAC">
        <w:t>Industry conditions and expectations necessitate the following assessment requirements:</w:t>
      </w:r>
    </w:p>
    <w:p w:rsidR="00000000" w:rsidRPr="00220DAC" w:rsidRDefault="00BD4694" w:rsidP="00220DAC">
      <w:pPr>
        <w:pStyle w:val="ListBullet"/>
      </w:pPr>
      <w:r w:rsidRPr="00220DAC">
        <w:t>Access to relev</w:t>
      </w:r>
      <w:r w:rsidRPr="00220DAC">
        <w:t>ant industry-specific workplace equipment in an operational pulp and/or paper mill</w:t>
      </w:r>
    </w:p>
    <w:p w:rsidR="00000000" w:rsidRPr="00220DAC" w:rsidRDefault="00BD4694" w:rsidP="00220DAC">
      <w:pPr>
        <w:pStyle w:val="ListBullet"/>
      </w:pPr>
      <w:r w:rsidRPr="00220DAC">
        <w:t>Genuine simulations that reflect the real work, including occupational health and safety, quality and productivity</w:t>
      </w:r>
    </w:p>
    <w:p w:rsidR="00000000" w:rsidRPr="00220DAC" w:rsidRDefault="00BD4694" w:rsidP="00220DAC">
      <w:pPr>
        <w:pStyle w:val="ListBullet"/>
      </w:pPr>
      <w:r w:rsidRPr="00220DAC">
        <w:lastRenderedPageBreak/>
        <w:t>A minimum of three pieces of evidence of competency for fu</w:t>
      </w:r>
      <w:r w:rsidRPr="00220DAC">
        <w:t>nctions involving safety</w:t>
      </w:r>
    </w:p>
    <w:p w:rsidR="00000000" w:rsidRPr="00220DAC" w:rsidRDefault="00BD4694" w:rsidP="00220DAC">
      <w:pPr>
        <w:pStyle w:val="ListBullet"/>
      </w:pPr>
      <w:r w:rsidRPr="00220DAC">
        <w:t>Units of competency selected are appropriate to the work being performed and assessed at the right level for the job</w:t>
      </w:r>
    </w:p>
    <w:p w:rsidR="00000000" w:rsidRPr="00220DAC" w:rsidRDefault="00BD4694" w:rsidP="00220DAC">
      <w:pPr>
        <w:pStyle w:val="ListBullet"/>
      </w:pPr>
      <w:r w:rsidRPr="00220DAC">
        <w:t xml:space="preserve">Sensory information relevant to the plant and equipment used in the job and can reasonably be expected at the level of the job </w:t>
      </w:r>
    </w:p>
    <w:p w:rsidR="00000000" w:rsidRPr="00220DAC" w:rsidRDefault="00BD4694" w:rsidP="00220DAC">
      <w:pPr>
        <w:pStyle w:val="ListBullet"/>
      </w:pPr>
      <w:r w:rsidRPr="00220DAC">
        <w:t>Units that are packaged at different AQF levels are applied in the context of the job requirements</w:t>
      </w:r>
    </w:p>
    <w:p w:rsidR="00000000" w:rsidRPr="00220DAC" w:rsidRDefault="00BD4694" w:rsidP="00220DAC">
      <w:pPr>
        <w:pStyle w:val="ListBullet"/>
      </w:pPr>
      <w:r w:rsidRPr="00220DAC">
        <w:t>The assessment of employabili</w:t>
      </w:r>
      <w:r w:rsidRPr="00220DAC">
        <w:t>ty skills appropriate to the work being performed and assessed at the right level for the job.</w:t>
      </w:r>
    </w:p>
    <w:p w:rsidR="00000000" w:rsidRPr="00220DAC" w:rsidRDefault="00BD4694" w:rsidP="00220DAC">
      <w:pPr>
        <w:pStyle w:val="BodyText"/>
      </w:pPr>
      <w:r w:rsidRPr="00220DAC">
        <w:t>Note:</w:t>
      </w:r>
    </w:p>
    <w:p w:rsidR="00000000" w:rsidRPr="00220DAC" w:rsidRDefault="00BD4694" w:rsidP="00220DAC">
      <w:pPr>
        <w:pStyle w:val="BodyText"/>
      </w:pPr>
      <w:r w:rsidRPr="00220DAC">
        <w:t xml:space="preserve">The imported unit MEM18011C </w:t>
      </w:r>
      <w:r w:rsidRPr="00220DAC">
        <w:rPr>
          <w:rStyle w:val="Emphasis"/>
        </w:rPr>
        <w:t>Shut down and isolate machines/equipment</w:t>
      </w:r>
      <w:r w:rsidRPr="00220DAC">
        <w:t xml:space="preserve"> and generic imported OHS units have been contextualised for the Pulp and Paper Manufac</w:t>
      </w:r>
      <w:r w:rsidRPr="00220DAC">
        <w:t>turing Industry. Please see the individual units for contextualisation and expanded range statements.</w:t>
      </w:r>
    </w:p>
    <w:p w:rsidR="00000000" w:rsidRPr="00220DAC" w:rsidRDefault="00BD4694" w:rsidP="00220DAC">
      <w:pPr>
        <w:pStyle w:val="BodyText"/>
      </w:pPr>
      <w:r w:rsidRPr="00220DAC">
        <w:t>The following assessment strategies form part of industry professional practice associated with this training package:</w:t>
      </w:r>
    </w:p>
    <w:p w:rsidR="00000000" w:rsidRPr="00220DAC" w:rsidRDefault="00BD4694" w:rsidP="00220DAC">
      <w:pPr>
        <w:pStyle w:val="ListBullet"/>
      </w:pPr>
      <w:r w:rsidRPr="00220DAC">
        <w:t xml:space="preserve">Assessors do not assess a learner </w:t>
      </w:r>
      <w:r w:rsidRPr="00220DAC">
        <w:t>they have trained in the competencies being assessed</w:t>
      </w:r>
    </w:p>
    <w:p w:rsidR="00000000" w:rsidRPr="00220DAC" w:rsidRDefault="00BD4694" w:rsidP="00220DAC">
      <w:pPr>
        <w:pStyle w:val="ListBullet"/>
      </w:pPr>
      <w:r w:rsidRPr="00220DAC">
        <w:t>Primary evidence of applied skills and knowledge, OHS, quality and productivity requirements is collected in the context of the job</w:t>
      </w:r>
    </w:p>
    <w:p w:rsidR="00000000" w:rsidRPr="00220DAC" w:rsidRDefault="00BD4694" w:rsidP="00220DAC">
      <w:pPr>
        <w:pStyle w:val="ListBullet"/>
      </w:pPr>
      <w:r w:rsidRPr="00220DAC">
        <w:t>Assessments are evidence based, with five standard types of evidence us</w:t>
      </w:r>
      <w:r w:rsidRPr="00220DAC">
        <w:t xml:space="preserve">ed: </w:t>
      </w:r>
    </w:p>
    <w:p w:rsidR="00000000" w:rsidRPr="00220DAC" w:rsidRDefault="00BD4694" w:rsidP="00220DAC">
      <w:pPr>
        <w:pStyle w:val="ListBullet2"/>
      </w:pPr>
      <w:r w:rsidRPr="00220DAC">
        <w:t>Observation on the job</w:t>
      </w:r>
    </w:p>
    <w:p w:rsidR="00000000" w:rsidRPr="00220DAC" w:rsidRDefault="00BD4694" w:rsidP="00220DAC">
      <w:pPr>
        <w:pStyle w:val="ListBullet2"/>
      </w:pPr>
      <w:r w:rsidRPr="00220DAC">
        <w:t>Demonstration, in instances that are unlikely to happen at the exact time of the assessment or may be dangerous to people or equipment. This may involve simulations, a mock-up or ‘show me...’ scenarios</w:t>
      </w:r>
    </w:p>
    <w:p w:rsidR="00000000" w:rsidRPr="00220DAC" w:rsidRDefault="00BD4694" w:rsidP="00220DAC">
      <w:pPr>
        <w:pStyle w:val="ListBullet2"/>
      </w:pPr>
      <w:r w:rsidRPr="00220DAC">
        <w:t>Written evidence includin</w:t>
      </w:r>
      <w:r w:rsidRPr="00220DAC">
        <w:t>g log sheets, documents prepared by the learner, test results or quality reports etc.</w:t>
      </w:r>
    </w:p>
    <w:p w:rsidR="00000000" w:rsidRPr="00220DAC" w:rsidRDefault="00BD4694" w:rsidP="00220DAC">
      <w:pPr>
        <w:pStyle w:val="ListBullet2"/>
      </w:pPr>
      <w:r w:rsidRPr="00220DAC">
        <w:t xml:space="preserve">Questions that are open questions that start with ‘what...’, ‘why...’, ‘how...’, ‘when...’, ‘who...’ (where appropriate) and ‘what would you do if...’  </w:t>
      </w:r>
    </w:p>
    <w:p w:rsidR="00000000" w:rsidRPr="00220DAC" w:rsidRDefault="00BD4694" w:rsidP="00220DAC">
      <w:pPr>
        <w:pStyle w:val="ListBullet2"/>
      </w:pPr>
      <w:r w:rsidRPr="00220DAC">
        <w:t>Third party reports from relevant personnel.</w:t>
      </w:r>
    </w:p>
    <w:p w:rsidR="00000000" w:rsidRPr="00220DAC" w:rsidRDefault="00BD4694" w:rsidP="00220DAC">
      <w:pPr>
        <w:pStyle w:val="ListBullet"/>
      </w:pPr>
      <w:r w:rsidRPr="00220DAC">
        <w:t>Workplace assessors may undertake different components of assessments at different times including non-rostered time and rostered time where:</w:t>
      </w:r>
    </w:p>
    <w:p w:rsidR="00000000" w:rsidRPr="00220DAC" w:rsidRDefault="00BD4694" w:rsidP="00220DAC">
      <w:pPr>
        <w:pStyle w:val="ListBullet2"/>
      </w:pPr>
      <w:r w:rsidRPr="00220DAC">
        <w:t>Evidence collection in rostered work time may include on-the-job ob</w:t>
      </w:r>
      <w:r w:rsidRPr="00220DAC">
        <w:t>servation, written evidence (e.g. log books, quality reports etc.), written questions and third party evidence collection</w:t>
      </w:r>
    </w:p>
    <w:p w:rsidR="00000000" w:rsidRPr="00220DAC" w:rsidRDefault="00BD4694" w:rsidP="00220DAC">
      <w:pPr>
        <w:pStyle w:val="ListBullet2"/>
      </w:pPr>
      <w:r w:rsidRPr="00220DAC">
        <w:t>Evidence collection in non-rostered time may include verbal questions, demonstration/simulation, and third party evidence collection w</w:t>
      </w:r>
      <w:r w:rsidRPr="00220DAC">
        <w:t>here this cannot be accessed in rostered time.</w:t>
      </w:r>
    </w:p>
    <w:p w:rsidR="00000000" w:rsidRPr="00220DAC" w:rsidRDefault="00BD4694" w:rsidP="00220DAC">
      <w:pPr>
        <w:pStyle w:val="ListBullet"/>
      </w:pPr>
      <w:r w:rsidRPr="00220DAC">
        <w:t>Holistic assessments are conducted:</w:t>
      </w:r>
    </w:p>
    <w:p w:rsidR="00000000" w:rsidRPr="00220DAC" w:rsidRDefault="00BD4694" w:rsidP="00220DAC">
      <w:pPr>
        <w:pStyle w:val="ListBullet2"/>
      </w:pPr>
      <w:r w:rsidRPr="00220DAC">
        <w:t>Reflecting whole component(s) of the job</w:t>
      </w:r>
    </w:p>
    <w:p w:rsidR="00000000" w:rsidRPr="00220DAC" w:rsidRDefault="00BD4694" w:rsidP="00220DAC">
      <w:pPr>
        <w:pStyle w:val="ListBullet2"/>
      </w:pPr>
      <w:r w:rsidRPr="00220DAC">
        <w:t>Providing evidence they can ‘put the whole job together’</w:t>
      </w:r>
    </w:p>
    <w:p w:rsidR="00000000" w:rsidRPr="00220DAC" w:rsidRDefault="00BD4694" w:rsidP="00220DAC">
      <w:pPr>
        <w:pStyle w:val="ListBullet2"/>
      </w:pPr>
      <w:r w:rsidRPr="00220DAC">
        <w:lastRenderedPageBreak/>
        <w:t xml:space="preserve">Enabling, as a general rule, the co-assessment of competencies contained </w:t>
      </w:r>
      <w:r w:rsidRPr="00220DAC">
        <w:t>in core and support elective units, with the assessment of industry specific competencies, with the exception of FPPOHS units. The units FPPOHS210A, FPPOHS310A and FPPOHS320A contained in this package must be holistically assessed with the relevant industr</w:t>
      </w:r>
      <w:r w:rsidRPr="00220DAC">
        <w:t xml:space="preserve">y specific (functional) units. This ensures that learners are competent in performing all aspects of their work safely. The remaining FPPOHS410 and FPPOHS420 units must be assessed in the context of pulp and/or paper manufacturing industry operations. </w:t>
      </w:r>
    </w:p>
    <w:p w:rsidR="00000000" w:rsidRPr="00220DAC" w:rsidRDefault="00BD4694" w:rsidP="00220DAC">
      <w:pPr>
        <w:pStyle w:val="BodyText"/>
      </w:pPr>
      <w:r w:rsidRPr="00220DAC">
        <w:t>The</w:t>
      </w:r>
      <w:r w:rsidRPr="00220DAC">
        <w:t xml:space="preserve"> following example of a typical workplace assessment is provided as guidance regarding holistic assessments:</w:t>
      </w:r>
    </w:p>
    <w:p w:rsidR="00000000" w:rsidRPr="00220DAC" w:rsidRDefault="00BD4694" w:rsidP="00220DAC">
      <w:pPr>
        <w:pStyle w:val="ListBullet"/>
      </w:pPr>
      <w:r w:rsidRPr="00220DAC">
        <w:t>Assessors typically assess learners in the set of functions and associated skills and knowledge that make up whole component(s) of a job, consiste</w:t>
      </w:r>
      <w:r w:rsidRPr="00220DAC">
        <w:t xml:space="preserve">nt with benchmarks contained in endorsed units of competency aligned to the job </w:t>
      </w:r>
    </w:p>
    <w:p w:rsidR="00000000" w:rsidRPr="00220DAC" w:rsidRDefault="00BD4694" w:rsidP="00220DAC">
      <w:pPr>
        <w:pStyle w:val="ListBullet"/>
      </w:pPr>
      <w:r w:rsidRPr="00220DAC">
        <w:t>Evidence is collected that demonstrates levels of performance expected in the workplace over time and under different conditions. This evidence may be collected through format</w:t>
      </w:r>
      <w:r w:rsidRPr="00220DAC">
        <w:t>ive assessments or a summative assessment, ensuring that the assessment is structured to enable:</w:t>
      </w:r>
    </w:p>
    <w:p w:rsidR="00000000" w:rsidRPr="00220DAC" w:rsidRDefault="00BD4694" w:rsidP="00220DAC">
      <w:pPr>
        <w:pStyle w:val="ListBullet2"/>
      </w:pPr>
      <w:r w:rsidRPr="00220DAC">
        <w:t>Learners to demonstrate an applied understanding of the inter-relations between different components of the job</w:t>
      </w:r>
    </w:p>
    <w:p w:rsidR="00000000" w:rsidRPr="00220DAC" w:rsidRDefault="00BD4694" w:rsidP="00220DAC">
      <w:pPr>
        <w:pStyle w:val="BodyText"/>
      </w:pPr>
      <w:r w:rsidRPr="00220DAC">
        <w:t>This is often assessed through:</w:t>
      </w:r>
    </w:p>
    <w:p w:rsidR="00000000" w:rsidRPr="00220DAC" w:rsidRDefault="00BD4694" w:rsidP="00220DAC">
      <w:pPr>
        <w:pStyle w:val="ListBullet2"/>
      </w:pPr>
      <w:r w:rsidRPr="00220DAC">
        <w:t>Written (e.g. log books) and/or third party evidence of problem solving coupled with ‘why…’ questions that demonstrate an applied understanding of the whole job, and/or</w:t>
      </w:r>
    </w:p>
    <w:p w:rsidR="00000000" w:rsidRPr="00220DAC" w:rsidRDefault="00BD4694" w:rsidP="00220DAC">
      <w:pPr>
        <w:pStyle w:val="ListBullet2"/>
      </w:pPr>
      <w:r w:rsidRPr="00220DAC">
        <w:t>A series of comprehensive ‘what would you do if…’ questions coupled with ‘why…’ questio</w:t>
      </w:r>
      <w:r w:rsidRPr="00220DAC">
        <w:t>ns that probe the inter-relationship of components of the job.</w:t>
      </w:r>
    </w:p>
    <w:p w:rsidR="00000000" w:rsidRPr="00220DAC" w:rsidRDefault="00BD4694" w:rsidP="00220DAC">
      <w:pPr>
        <w:pStyle w:val="ListBullet"/>
      </w:pPr>
      <w:r w:rsidRPr="00220DAC">
        <w:t>Competencies in core and support elective units to be embedded in the assessment of industry specialisations, enhancing the relevance and inter-dependence of competencies required to perform a</w:t>
      </w:r>
      <w:r w:rsidRPr="00220DAC">
        <w:t xml:space="preserve"> job</w:t>
      </w:r>
    </w:p>
    <w:p w:rsidR="00000000" w:rsidRPr="00220DAC" w:rsidRDefault="00BD4694" w:rsidP="00220DAC">
      <w:pPr>
        <w:pStyle w:val="BodyText"/>
      </w:pPr>
      <w:r w:rsidRPr="00220DAC">
        <w:t>This is often assessed through:</w:t>
      </w:r>
    </w:p>
    <w:p w:rsidR="00000000" w:rsidRPr="00220DAC" w:rsidRDefault="00BD4694" w:rsidP="00220DAC">
      <w:pPr>
        <w:pStyle w:val="ListBullet3"/>
      </w:pPr>
      <w:r w:rsidRPr="00220DAC">
        <w:t>Verbal and written ‘what…’ and ‘why…’ and ‘what would you do if…’ questions that probe a learners’ OHS competency, in the first instance</w:t>
      </w:r>
    </w:p>
    <w:p w:rsidR="00000000" w:rsidRPr="00220DAC" w:rsidRDefault="00BD4694" w:rsidP="00220DAC">
      <w:pPr>
        <w:pStyle w:val="ListBullet3"/>
      </w:pPr>
      <w:r w:rsidRPr="00220DAC">
        <w:t>Language, literacy and numeracy (LLN) and other assessment strategies, as needed, addressed separately in the first instance, and then co-assessed with industry specific competencies</w:t>
      </w:r>
    </w:p>
    <w:p w:rsidR="00000000" w:rsidRPr="00220DAC" w:rsidRDefault="00BD4694" w:rsidP="00220DAC">
      <w:pPr>
        <w:pStyle w:val="ListBullet3"/>
      </w:pPr>
      <w:r w:rsidRPr="00220DAC">
        <w:t>Collecting sufficient evidence of applied OHS, communication, problem sol</w:t>
      </w:r>
      <w:r w:rsidRPr="00220DAC">
        <w:t>ving, numeracy, quality and sustainability competency when assessing industry specialisations i.e., the industry specialisations provide the context for OHS, communication, problem solving, numeracy, quality and sustainability competencies being demonstrat</w:t>
      </w:r>
      <w:r w:rsidRPr="00220DAC">
        <w:t>ed.</w:t>
      </w:r>
    </w:p>
    <w:p w:rsidR="00000000" w:rsidRPr="00220DAC" w:rsidRDefault="00BD4694" w:rsidP="00220DAC">
      <w:pPr>
        <w:pStyle w:val="BodyText"/>
      </w:pPr>
    </w:p>
    <w:p w:rsidR="00000000" w:rsidRPr="00220DAC" w:rsidRDefault="00BD4694" w:rsidP="00220DAC">
      <w:pPr>
        <w:pStyle w:val="BodyText"/>
      </w:pPr>
      <w:r w:rsidRPr="00220DAC">
        <w:t>Any requirements contained in core and/or support elective units that are not demonstrated in the course of industry specific assessment should be collected separately, and relate to the job.</w:t>
      </w:r>
    </w:p>
    <w:p w:rsidR="00000000" w:rsidRPr="00220DAC" w:rsidRDefault="00BD4694" w:rsidP="00220DAC">
      <w:pPr>
        <w:pStyle w:val="BodyText"/>
      </w:pPr>
      <w:r w:rsidRPr="00220DAC">
        <w:rPr>
          <w:rStyle w:val="SpecialBold"/>
        </w:rPr>
        <w:t xml:space="preserve">Workplace trainer competencies: </w:t>
      </w:r>
    </w:p>
    <w:p w:rsidR="00000000" w:rsidRPr="00220DAC" w:rsidRDefault="00BD4694" w:rsidP="00220DAC">
      <w:pPr>
        <w:pStyle w:val="BodyText"/>
      </w:pPr>
      <w:r w:rsidRPr="00220DAC">
        <w:t>Workplace trainers that pr</w:t>
      </w:r>
      <w:r w:rsidRPr="00220DAC">
        <w:t xml:space="preserve">ovide training as a requirement of a broader operations job role (i.e. where their job role is not specifically or exclusively a trainer), </w:t>
      </w:r>
      <w:r w:rsidRPr="00220DAC">
        <w:rPr>
          <w:rStyle w:val="Emphasis"/>
        </w:rPr>
        <w:t>should</w:t>
      </w:r>
      <w:r w:rsidRPr="00220DAC">
        <w:t xml:space="preserve"> hold the unit of competency TAEDEL301A </w:t>
      </w:r>
      <w:r w:rsidRPr="00220DAC">
        <w:rPr>
          <w:rStyle w:val="Emphasis"/>
        </w:rPr>
        <w:t>Provide work skill instruction</w:t>
      </w:r>
      <w:r w:rsidRPr="00220DAC">
        <w:t>, or equivalent.</w:t>
      </w:r>
    </w:p>
    <w:p w:rsidR="00000000" w:rsidRPr="00220DAC" w:rsidRDefault="00BD4694" w:rsidP="00220DAC">
      <w:pPr>
        <w:pStyle w:val="BodyText"/>
      </w:pPr>
      <w:r w:rsidRPr="00220DAC">
        <w:lastRenderedPageBreak/>
        <w:t>In addition, workplace t</w:t>
      </w:r>
      <w:r w:rsidRPr="00220DAC">
        <w:t>rainers and assessors must demonstrate current knowledge and experience of the industry, industry practices, and the trainee’s job role that is the subject of the training and/or assessment.</w:t>
      </w:r>
    </w:p>
    <w:p w:rsidR="00000000" w:rsidRPr="00220DAC" w:rsidRDefault="00BD4694" w:rsidP="00220DAC">
      <w:pPr>
        <w:pStyle w:val="BodyText"/>
      </w:pPr>
      <w:r w:rsidRPr="00220DAC">
        <w:rPr>
          <w:rStyle w:val="SpecialBold"/>
        </w:rPr>
        <w:t>Principles of Assessment</w:t>
      </w:r>
    </w:p>
    <w:p w:rsidR="00000000" w:rsidRPr="00220DAC" w:rsidRDefault="00BD4694" w:rsidP="00220DAC">
      <w:pPr>
        <w:pStyle w:val="BodyText"/>
      </w:pPr>
      <w:r w:rsidRPr="00220DAC">
        <w:t xml:space="preserve">All assessments carried out by RTOs are </w:t>
      </w:r>
      <w:r w:rsidRPr="00220DAC">
        <w:t>required to demonstrate compliance with the principles of assessment:</w:t>
      </w:r>
    </w:p>
    <w:p w:rsidR="00000000" w:rsidRPr="00220DAC" w:rsidRDefault="00BD4694" w:rsidP="00220DAC">
      <w:pPr>
        <w:pStyle w:val="ListBullet"/>
      </w:pPr>
      <w:r w:rsidRPr="00220DAC">
        <w:t>validity</w:t>
      </w:r>
    </w:p>
    <w:p w:rsidR="00000000" w:rsidRPr="00220DAC" w:rsidRDefault="00BD4694" w:rsidP="00220DAC">
      <w:pPr>
        <w:pStyle w:val="ListBullet"/>
      </w:pPr>
      <w:r w:rsidRPr="00220DAC">
        <w:t>reliability</w:t>
      </w:r>
    </w:p>
    <w:p w:rsidR="00000000" w:rsidRPr="00220DAC" w:rsidRDefault="00BD4694" w:rsidP="00220DAC">
      <w:pPr>
        <w:pStyle w:val="ListBullet"/>
      </w:pPr>
      <w:r w:rsidRPr="00220DAC">
        <w:t>flexibility</w:t>
      </w:r>
    </w:p>
    <w:p w:rsidR="00000000" w:rsidRPr="00220DAC" w:rsidRDefault="00BD4694" w:rsidP="00220DAC">
      <w:pPr>
        <w:pStyle w:val="ListBullet"/>
      </w:pPr>
      <w:r w:rsidRPr="00220DAC">
        <w:t>fairness</w:t>
      </w:r>
    </w:p>
    <w:p w:rsidR="00000000" w:rsidRPr="00220DAC" w:rsidRDefault="00BD4694" w:rsidP="00220DAC">
      <w:pPr>
        <w:pStyle w:val="ListBullet"/>
      </w:pPr>
      <w:r w:rsidRPr="00220DAC">
        <w:t>sufficiency</w:t>
      </w:r>
    </w:p>
    <w:p w:rsidR="00000000" w:rsidRPr="00220DAC" w:rsidRDefault="00BD4694" w:rsidP="00220DAC">
      <w:pPr>
        <w:pStyle w:val="BodyText"/>
      </w:pPr>
      <w:r w:rsidRPr="00220DAC">
        <w:t>These principles must be addressed in the:</w:t>
      </w:r>
    </w:p>
    <w:p w:rsidR="00000000" w:rsidRPr="00220DAC" w:rsidRDefault="00BD4694" w:rsidP="00220DAC">
      <w:pPr>
        <w:pStyle w:val="ListBullet"/>
      </w:pPr>
      <w:r w:rsidRPr="00220DAC">
        <w:t>design, establishment and management of the assessment system for this Training Package</w:t>
      </w:r>
    </w:p>
    <w:p w:rsidR="00000000" w:rsidRPr="00220DAC" w:rsidRDefault="00BD4694" w:rsidP="00220DAC">
      <w:pPr>
        <w:pStyle w:val="ListBullet"/>
      </w:pPr>
      <w:r w:rsidRPr="00220DAC">
        <w:t>development of assessment tools, and</w:t>
      </w:r>
    </w:p>
    <w:p w:rsidR="00000000" w:rsidRPr="00220DAC" w:rsidRDefault="00BD4694" w:rsidP="00220DAC">
      <w:pPr>
        <w:pStyle w:val="ListBullet"/>
      </w:pPr>
      <w:r w:rsidRPr="00220DAC">
        <w:t>the conduct of assessment.</w:t>
      </w:r>
    </w:p>
    <w:p w:rsidR="00000000" w:rsidRPr="00220DAC" w:rsidRDefault="00BD4694" w:rsidP="00220DAC">
      <w:pPr>
        <w:pStyle w:val="Heading4"/>
      </w:pPr>
      <w:r w:rsidRPr="00220DAC">
        <w:t>Validity</w:t>
      </w:r>
    </w:p>
    <w:p w:rsidR="00000000" w:rsidRPr="00220DAC" w:rsidRDefault="00BD4694" w:rsidP="00220DAC">
      <w:pPr>
        <w:pStyle w:val="BodyText"/>
      </w:pPr>
      <w:r w:rsidRPr="00220DAC">
        <w:t>Assessment is valid when the process is sound and assesses what it claims to assess. Validity requires that:</w:t>
      </w:r>
    </w:p>
    <w:p w:rsidR="00000000" w:rsidRPr="00220DAC" w:rsidRDefault="00BD4694" w:rsidP="00220DAC">
      <w:pPr>
        <w:pStyle w:val="List2"/>
      </w:pPr>
      <w:r w:rsidRPr="00220DAC">
        <w:t xml:space="preserve">(a) </w:t>
      </w:r>
      <w:r w:rsidRPr="00220DAC">
        <w:tab/>
      </w:r>
      <w:r w:rsidRPr="00220DAC">
        <w:t xml:space="preserve">assessment against the units of competency must cover the broad range of skills and knowledge that are essential to competent performance </w:t>
      </w:r>
    </w:p>
    <w:p w:rsidR="00000000" w:rsidRPr="00220DAC" w:rsidRDefault="00BD4694" w:rsidP="00220DAC">
      <w:pPr>
        <w:pStyle w:val="List2"/>
      </w:pPr>
      <w:r w:rsidRPr="00220DAC">
        <w:t xml:space="preserve">(b) </w:t>
      </w:r>
      <w:r w:rsidRPr="00220DAC">
        <w:tab/>
        <w:t>assessment of knowledge and skills must be integrated with their practical application</w:t>
      </w:r>
    </w:p>
    <w:p w:rsidR="00000000" w:rsidRPr="00220DAC" w:rsidRDefault="00BD4694" w:rsidP="00220DAC">
      <w:pPr>
        <w:pStyle w:val="List2"/>
      </w:pPr>
      <w:r w:rsidRPr="00220DAC">
        <w:t xml:space="preserve">(c) </w:t>
      </w:r>
      <w:r w:rsidRPr="00220DAC">
        <w:tab/>
        <w:t>judgement of compete</w:t>
      </w:r>
      <w:r w:rsidRPr="00220DAC">
        <w:t>nce must be based on sufficient evidence (that is, evidence gathered on a number of occasions and in a range of contexts using different assessment methods). The specific evidence requirements of each unit of competency provide advice on sufficiency</w:t>
      </w:r>
    </w:p>
    <w:p w:rsidR="00000000" w:rsidRPr="00220DAC" w:rsidRDefault="00BD4694" w:rsidP="00220DAC">
      <w:pPr>
        <w:pStyle w:val="Heading4"/>
      </w:pPr>
      <w:r w:rsidRPr="00220DAC">
        <w:t>Reliab</w:t>
      </w:r>
      <w:r w:rsidRPr="00220DAC">
        <w:t xml:space="preserve">ility </w:t>
      </w:r>
    </w:p>
    <w:p w:rsidR="00000000" w:rsidRPr="00220DAC" w:rsidRDefault="00BD4694" w:rsidP="00220DAC">
      <w:pPr>
        <w:pStyle w:val="BodyText"/>
      </w:pPr>
      <w:r w:rsidRPr="00220DAC">
        <w:t>Reliability refers to the degree to which evidence presented for assessment is consistently interpreted and results in consistent assessment outcomes. Reliability requires the assessor to have the required competencies in assessment and relevant voc</w:t>
      </w:r>
      <w:r w:rsidRPr="00220DAC">
        <w:t>ational competencies (or to assess in conjunction with someone who has the vocational competencies). It can only be achieved when assessors share a common interpretation of the assessment requirements of the unit(s) being assessed.</w:t>
      </w:r>
    </w:p>
    <w:p w:rsidR="00000000" w:rsidRPr="00220DAC" w:rsidRDefault="00BD4694" w:rsidP="00220DAC">
      <w:pPr>
        <w:pStyle w:val="Heading4"/>
      </w:pPr>
    </w:p>
    <w:p w:rsidR="00000000" w:rsidRPr="00220DAC" w:rsidRDefault="00BD4694" w:rsidP="00220DAC">
      <w:pPr>
        <w:pStyle w:val="Heading4"/>
      </w:pPr>
      <w:r w:rsidRPr="00220DAC">
        <w:t>Flexibility</w:t>
      </w:r>
    </w:p>
    <w:p w:rsidR="00000000" w:rsidRPr="00220DAC" w:rsidRDefault="00BD4694" w:rsidP="00220DAC">
      <w:pPr>
        <w:pStyle w:val="BodyText"/>
      </w:pPr>
      <w:r w:rsidRPr="00220DAC">
        <w:t>To be flexi</w:t>
      </w:r>
      <w:r w:rsidRPr="00220DAC">
        <w:t xml:space="preserve">ble, assessment should reflect the candidate’s needs; provide for recognition of competencies no matter how, where or when they have been acquired; draw on a range of methods appropriate to the context, competency and the candidate; and support continuous </w:t>
      </w:r>
      <w:r w:rsidRPr="00220DAC">
        <w:t>competency development.</w:t>
      </w:r>
    </w:p>
    <w:p w:rsidR="00000000" w:rsidRPr="00220DAC" w:rsidRDefault="00BD4694" w:rsidP="00220DAC">
      <w:pPr>
        <w:pStyle w:val="Heading4"/>
      </w:pPr>
      <w:r w:rsidRPr="00220DAC">
        <w:t xml:space="preserve">Fairness </w:t>
      </w:r>
    </w:p>
    <w:p w:rsidR="00000000" w:rsidRPr="00220DAC" w:rsidRDefault="00BD4694" w:rsidP="00220DAC">
      <w:pPr>
        <w:pStyle w:val="BodyText"/>
      </w:pPr>
      <w:r w:rsidRPr="00220DAC">
        <w:lastRenderedPageBreak/>
        <w:t>Fairness in assessment requires consideration of the individual candidate’s needs and characteristics, and any reasonable adjustments that need to be applied to take account of them. It requires clear communication between</w:t>
      </w:r>
      <w:r w:rsidRPr="00220DAC">
        <w:t xml:space="preserve"> the assessor and the candidate to ensure that the candidate is fully informed about, understands and is able to participate in, the assessment process, and agrees that the process is appropriate. It also includes an opportunity for the person being assess</w:t>
      </w:r>
      <w:r w:rsidRPr="00220DAC">
        <w:t>ed to challenge the result of the assessment and to be reassessed if necessary.</w:t>
      </w:r>
    </w:p>
    <w:p w:rsidR="00000000" w:rsidRPr="00220DAC" w:rsidRDefault="00BD4694" w:rsidP="00220DAC">
      <w:pPr>
        <w:pStyle w:val="Heading4"/>
      </w:pPr>
      <w:r w:rsidRPr="00220DAC">
        <w:t xml:space="preserve">Sufficiency </w:t>
      </w:r>
    </w:p>
    <w:p w:rsidR="00000000" w:rsidRPr="00220DAC" w:rsidRDefault="00BD4694" w:rsidP="00220DAC">
      <w:pPr>
        <w:pStyle w:val="BodyText"/>
      </w:pPr>
      <w:r w:rsidRPr="00220DAC">
        <w:t xml:space="preserve">Sufficiency relates to the quality and quantity of evidence assessed. It requires collection of enough </w:t>
      </w:r>
      <w:r w:rsidRPr="00220DAC">
        <w:rPr>
          <w:rStyle w:val="Emphasis"/>
        </w:rPr>
        <w:t xml:space="preserve">appropriate </w:t>
      </w:r>
      <w:r w:rsidRPr="00220DAC">
        <w:t>evidence to ensure that all aspects of competenc</w:t>
      </w:r>
      <w:r w:rsidRPr="00220DAC">
        <w:t>y have been satisfied and that competency can be demonstrated repeatedly. Supplementary sources of evidence may be necessary. The specific evidence requirements of each unit of competency provide advice on sufficiency.  Sufficiency is also one of the rules</w:t>
      </w:r>
      <w:r w:rsidRPr="00220DAC">
        <w:t xml:space="preserve"> of evidence.</w:t>
      </w:r>
    </w:p>
    <w:p w:rsidR="00000000" w:rsidRPr="00220DAC" w:rsidRDefault="00BD4694" w:rsidP="00220DAC">
      <w:pPr>
        <w:pStyle w:val="Heading3"/>
      </w:pPr>
      <w:r w:rsidRPr="00220DAC">
        <w:t>Rules of Evidence</w:t>
      </w:r>
    </w:p>
    <w:p w:rsidR="00000000" w:rsidRPr="00220DAC" w:rsidRDefault="00BD4694" w:rsidP="00220DAC">
      <w:pPr>
        <w:pStyle w:val="BodyText"/>
      </w:pPr>
      <w:r w:rsidRPr="00220DAC">
        <w:t>The rules of evidence guide the collection of evidence that address the principles of validity and reliability, guiding the collection of evidence to ensure that it is valid, sufficient, current and authentic.</w:t>
      </w:r>
    </w:p>
    <w:p w:rsidR="00000000" w:rsidRPr="00220DAC" w:rsidRDefault="00BD4694" w:rsidP="00220DAC">
      <w:pPr>
        <w:pStyle w:val="Heading4"/>
      </w:pPr>
      <w:r w:rsidRPr="00220DAC">
        <w:t>Valid</w:t>
      </w:r>
    </w:p>
    <w:p w:rsidR="00000000" w:rsidRPr="00220DAC" w:rsidRDefault="00BD4694" w:rsidP="00220DAC">
      <w:pPr>
        <w:pStyle w:val="BodyText"/>
      </w:pPr>
      <w:r w:rsidRPr="00220DAC">
        <w:rPr>
          <w:rStyle w:val="Emphasis"/>
        </w:rPr>
        <w:t>Valid evidence must relate directly to the requirements of the unit of competency. In ensuring evidence is valid, assessors must ensure that the evidence collected supports demonstration of the outcomes and performance requirements of the unit of competenc</w:t>
      </w:r>
      <w:r w:rsidRPr="00220DAC">
        <w:rPr>
          <w:rStyle w:val="Emphasis"/>
        </w:rPr>
        <w:t>y together with the knowledge and skills necessary for competent performance.  Valid evidence must encapsulate the breadth and depth of the unit of competency, which will necessitate using a number of different assessment methods.</w:t>
      </w:r>
    </w:p>
    <w:p w:rsidR="00000000" w:rsidRPr="00220DAC" w:rsidRDefault="00BD4694" w:rsidP="00220DAC">
      <w:pPr>
        <w:pStyle w:val="Heading4"/>
      </w:pPr>
      <w:r w:rsidRPr="00220DAC">
        <w:t>Sufficient</w:t>
      </w:r>
    </w:p>
    <w:p w:rsidR="00000000" w:rsidRPr="00220DAC" w:rsidRDefault="00BD4694" w:rsidP="00220DAC">
      <w:pPr>
        <w:pStyle w:val="BodyText"/>
      </w:pPr>
      <w:r w:rsidRPr="00220DAC">
        <w:t>Sufficiency re</w:t>
      </w:r>
      <w:r w:rsidRPr="00220DAC">
        <w:t>lates to the quality and quantity of evidence assessed. It requires collection of enough appropriate evidence to ensure that all aspects of competency have been satisfied and that competency can be demonstrated repeatedly. Supplementary sources of evidence</w:t>
      </w:r>
      <w:r w:rsidRPr="00220DAC">
        <w:t xml:space="preserve"> may be necessary. The specific evidence requirements of each unit of competency provide advice on sufficiency.</w:t>
      </w:r>
    </w:p>
    <w:p w:rsidR="00000000" w:rsidRPr="00220DAC" w:rsidRDefault="00BD4694" w:rsidP="00220DAC">
      <w:pPr>
        <w:pStyle w:val="Heading4"/>
      </w:pPr>
      <w:r w:rsidRPr="00220DAC">
        <w:t>Current</w:t>
      </w:r>
    </w:p>
    <w:p w:rsidR="00000000" w:rsidRPr="00220DAC" w:rsidRDefault="00BD4694" w:rsidP="00220DAC">
      <w:pPr>
        <w:pStyle w:val="BodyText"/>
      </w:pPr>
      <w:r w:rsidRPr="00220DAC">
        <w:t>In assessment, currency relates to the age of the evidence presented by a candidate to demonstrate that they are still competent. Compet</w:t>
      </w:r>
      <w:r w:rsidRPr="00220DAC">
        <w:t>ency requires demonstration of current performance, so the evidence collected must be from either the present or the very recent past.</w:t>
      </w:r>
    </w:p>
    <w:p w:rsidR="00000000" w:rsidRPr="00220DAC" w:rsidRDefault="00BD4694" w:rsidP="00220DAC">
      <w:pPr>
        <w:pStyle w:val="Heading4"/>
      </w:pPr>
      <w:r w:rsidRPr="00220DAC">
        <w:t>Authentic</w:t>
      </w:r>
    </w:p>
    <w:p w:rsidR="00000000" w:rsidRPr="00220DAC" w:rsidRDefault="00BD4694" w:rsidP="00220DAC">
      <w:pPr>
        <w:pStyle w:val="BodyText"/>
      </w:pPr>
      <w:r w:rsidRPr="00220DAC">
        <w:t xml:space="preserve">To accept evidence as authentic, an assessor must be assured that the evidence presented for assessment is the </w:t>
      </w:r>
      <w:r w:rsidRPr="00220DAC">
        <w:t>candidate’s own work.</w:t>
      </w:r>
    </w:p>
    <w:p w:rsidR="00000000" w:rsidRPr="00220DAC" w:rsidRDefault="00BD4694" w:rsidP="00220DAC">
      <w:pPr>
        <w:pStyle w:val="BodyText"/>
      </w:pPr>
      <w:r w:rsidRPr="00220DAC">
        <w:rPr>
          <w:rStyle w:val="SpecialBold"/>
        </w:rPr>
        <w:t>Assessment Requirements of the Australian Quality Training Framework</w:t>
      </w:r>
    </w:p>
    <w:p w:rsidR="00000000" w:rsidRPr="00220DAC" w:rsidRDefault="00BD4694" w:rsidP="00220DAC">
      <w:pPr>
        <w:pStyle w:val="BodyText"/>
      </w:pPr>
      <w:r w:rsidRPr="00220DAC">
        <w:t>Assessment leading to nationally recognised AQF qualifications and Statements of Attainment in the vocational education and training sector must meet the requirement</w:t>
      </w:r>
      <w:r w:rsidRPr="00220DAC">
        <w:t xml:space="preserve">s of the AQTF as expressed in the AQTF 2010 </w:t>
      </w:r>
      <w:r w:rsidRPr="00220DAC">
        <w:rPr>
          <w:rStyle w:val="Emphasis"/>
        </w:rPr>
        <w:t xml:space="preserve">Essential Standards for Registration. </w:t>
      </w:r>
    </w:p>
    <w:p w:rsidR="00000000" w:rsidRPr="00220DAC" w:rsidRDefault="00BD4694" w:rsidP="00220DAC">
      <w:pPr>
        <w:pStyle w:val="BodyText"/>
      </w:pPr>
      <w:r w:rsidRPr="00220DAC">
        <w:lastRenderedPageBreak/>
        <w:t xml:space="preserve">The AQTF 2010 </w:t>
      </w:r>
      <w:r w:rsidRPr="00220DAC">
        <w:rPr>
          <w:rStyle w:val="Emphasis"/>
        </w:rPr>
        <w:t>Essential Standards for Initial and Continuing Registration</w:t>
      </w:r>
      <w:r w:rsidRPr="00220DAC">
        <w:t xml:space="preserve"> can be downloaded from &lt;www.training.com.au&gt;. </w:t>
      </w:r>
    </w:p>
    <w:p w:rsidR="00000000" w:rsidRPr="00220DAC" w:rsidRDefault="00BD4694" w:rsidP="00220DAC">
      <w:pPr>
        <w:pStyle w:val="BodyText"/>
      </w:pPr>
      <w:r w:rsidRPr="00220DAC">
        <w:t>The following points summarise the assessment requir</w:t>
      </w:r>
      <w:r w:rsidRPr="00220DAC">
        <w:t>ements.</w:t>
      </w:r>
    </w:p>
    <w:p w:rsidR="00000000" w:rsidRPr="00220DAC" w:rsidRDefault="00BD4694" w:rsidP="00220DAC">
      <w:pPr>
        <w:pStyle w:val="BodyText"/>
      </w:pPr>
      <w:r w:rsidRPr="00220DAC">
        <w:rPr>
          <w:rStyle w:val="SpecialBold"/>
        </w:rPr>
        <w:t>Registration of Training Organisations</w:t>
      </w:r>
    </w:p>
    <w:p w:rsidR="00000000" w:rsidRPr="00220DAC" w:rsidRDefault="00BD4694" w:rsidP="00220DAC">
      <w:pPr>
        <w:pStyle w:val="BodyText"/>
      </w:pPr>
      <w:r w:rsidRPr="00220DAC">
        <w:t xml:space="preserve">Assessment must be conducted by, or on behalf of, an RTO formally registered by a State or Territory Registering Body in accordance with the AQTF. The RTO must have the specific units of competency and/or AQF </w:t>
      </w:r>
      <w:r w:rsidRPr="00220DAC">
        <w:t xml:space="preserve">qualifications on its scope of registration. </w:t>
      </w:r>
    </w:p>
    <w:p w:rsidR="00000000" w:rsidRPr="00220DAC" w:rsidRDefault="00BD4694" w:rsidP="00220DAC">
      <w:pPr>
        <w:pStyle w:val="BodyText"/>
      </w:pPr>
      <w:r w:rsidRPr="00220DAC">
        <w:rPr>
          <w:rStyle w:val="SpecialBold"/>
        </w:rPr>
        <w:t>Quality Training and Assessment</w:t>
      </w:r>
    </w:p>
    <w:p w:rsidR="00000000" w:rsidRPr="00220DAC" w:rsidRDefault="00BD4694" w:rsidP="00220DAC">
      <w:pPr>
        <w:pStyle w:val="BodyText"/>
      </w:pPr>
      <w:r w:rsidRPr="00220DAC">
        <w:t xml:space="preserve">Each RTO must provide quality training and assessment across all its operations. See the AQTF 2010 </w:t>
      </w:r>
      <w:r w:rsidRPr="00220DAC">
        <w:rPr>
          <w:rStyle w:val="Emphasis"/>
        </w:rPr>
        <w:t>Essential Standards for Initial and Continuing Registration</w:t>
      </w:r>
      <w:r w:rsidRPr="00220DAC">
        <w:t xml:space="preserve">, Standard 1. </w:t>
      </w:r>
    </w:p>
    <w:p w:rsidR="00000000" w:rsidRPr="00220DAC" w:rsidRDefault="00BD4694" w:rsidP="00220DAC">
      <w:pPr>
        <w:pStyle w:val="BodyText"/>
      </w:pPr>
      <w:r w:rsidRPr="00220DAC">
        <w:rPr>
          <w:rStyle w:val="SpecialBold"/>
        </w:rPr>
        <w:t>Asses</w:t>
      </w:r>
      <w:r w:rsidRPr="00220DAC">
        <w:rPr>
          <w:rStyle w:val="SpecialBold"/>
        </w:rPr>
        <w:t>sor Competency Requirements</w:t>
      </w:r>
    </w:p>
    <w:p w:rsidR="00000000" w:rsidRPr="00220DAC" w:rsidRDefault="00BD4694" w:rsidP="00220DAC">
      <w:pPr>
        <w:pStyle w:val="BodyText"/>
      </w:pPr>
      <w:r w:rsidRPr="00220DAC">
        <w:t>Each person involved in training and assessment must be competent for the functions they perform. See the AQTF 2010</w:t>
      </w:r>
      <w:r w:rsidRPr="00220DAC">
        <w:rPr>
          <w:rStyle w:val="Emphasis"/>
        </w:rPr>
        <w:t xml:space="preserve"> Essential Standards for Initial and Continuing Registration</w:t>
      </w:r>
      <w:r w:rsidRPr="00220DAC">
        <w:t>, Standard 1 for assessor (and trainer) competency re</w:t>
      </w:r>
      <w:r w:rsidRPr="00220DAC">
        <w:t>quirements. See also the AQTF 2010</w:t>
      </w:r>
      <w:r w:rsidRPr="00220DAC">
        <w:rPr>
          <w:rStyle w:val="Emphasis"/>
        </w:rPr>
        <w:t xml:space="preserve"> Users’ Guide to the Essential Standards for Registration</w:t>
      </w:r>
      <w:r w:rsidRPr="00220DAC">
        <w:t xml:space="preserve"> – Appendix 2.</w:t>
      </w:r>
    </w:p>
    <w:p w:rsidR="00000000" w:rsidRPr="00220DAC" w:rsidRDefault="00BD4694" w:rsidP="00220DAC">
      <w:pPr>
        <w:pStyle w:val="BodyText"/>
      </w:pPr>
      <w:r w:rsidRPr="00220DAC">
        <w:rPr>
          <w:rStyle w:val="SpecialBold"/>
        </w:rPr>
        <w:t>Assessment Requirements</w:t>
      </w:r>
    </w:p>
    <w:p w:rsidR="00000000" w:rsidRPr="00220DAC" w:rsidRDefault="00BD4694" w:rsidP="00220DAC">
      <w:pPr>
        <w:pStyle w:val="BodyText"/>
      </w:pPr>
      <w:r w:rsidRPr="00220DAC">
        <w:t>The RTOs assessments, including RPL, must meet the requirements of the relevant endorsed Training Package. See the AQTF 2010</w:t>
      </w:r>
      <w:r w:rsidRPr="00220DAC">
        <w:rPr>
          <w:rStyle w:val="Emphasis"/>
        </w:rPr>
        <w:t xml:space="preserve"> E</w:t>
      </w:r>
      <w:r w:rsidRPr="00220DAC">
        <w:rPr>
          <w:rStyle w:val="Emphasis"/>
        </w:rPr>
        <w:t>ssential Standards for Initial and Continuing Registration</w:t>
      </w:r>
      <w:r w:rsidRPr="00220DAC">
        <w:t>.</w:t>
      </w:r>
    </w:p>
    <w:p w:rsidR="00000000" w:rsidRPr="00220DAC" w:rsidRDefault="00BD4694" w:rsidP="00220DAC">
      <w:pPr>
        <w:pStyle w:val="BodyText"/>
      </w:pPr>
      <w:r w:rsidRPr="00220DAC">
        <w:rPr>
          <w:rStyle w:val="SpecialBold"/>
        </w:rPr>
        <w:t>Assessment Strategies</w:t>
      </w:r>
    </w:p>
    <w:p w:rsidR="00000000" w:rsidRPr="00220DAC" w:rsidRDefault="00BD4694" w:rsidP="00220DAC">
      <w:pPr>
        <w:pStyle w:val="BodyText"/>
      </w:pPr>
      <w:r w:rsidRPr="00220DAC">
        <w:t>Each RTO must have strategies for training and assessment that meet the requirements of the relevant Training Package or accredited course and are developed in consultation w</w:t>
      </w:r>
      <w:r w:rsidRPr="00220DAC">
        <w:t xml:space="preserve">ith industry stakeholders. See the AQTF 2010 </w:t>
      </w:r>
      <w:r w:rsidRPr="00220DAC">
        <w:rPr>
          <w:rStyle w:val="Emphasis"/>
        </w:rPr>
        <w:t>Essential Standards for Initial and Continuing Registration</w:t>
      </w:r>
      <w:r w:rsidRPr="00220DAC">
        <w:t xml:space="preserve">. </w:t>
      </w:r>
    </w:p>
    <w:p w:rsidR="00000000" w:rsidRPr="00220DAC" w:rsidRDefault="00BD4694" w:rsidP="00220DAC">
      <w:pPr>
        <w:pStyle w:val="BodyText"/>
      </w:pPr>
      <w:r w:rsidRPr="00220DAC">
        <w:rPr>
          <w:rStyle w:val="SpecialBold"/>
        </w:rPr>
        <w:t>National Recognition</w:t>
      </w:r>
    </w:p>
    <w:p w:rsidR="00000000" w:rsidRPr="00220DAC" w:rsidRDefault="00BD4694" w:rsidP="00220DAC">
      <w:pPr>
        <w:pStyle w:val="BodyText"/>
      </w:pPr>
      <w:r w:rsidRPr="00220DAC">
        <w:t xml:space="preserve">Each RTO must recognise the AQF qualifications and Statements of Attainment issued by any other RTO. See the AQTF 2010 </w:t>
      </w:r>
      <w:r w:rsidRPr="00220DAC">
        <w:rPr>
          <w:rStyle w:val="Emphasis"/>
        </w:rPr>
        <w:t>Essential</w:t>
      </w:r>
      <w:r w:rsidRPr="00220DAC">
        <w:rPr>
          <w:rStyle w:val="Emphasis"/>
        </w:rPr>
        <w:t xml:space="preserve"> Standards for Initial and Continuing Registration</w:t>
      </w:r>
      <w:r w:rsidRPr="00220DAC">
        <w:t>.</w:t>
      </w:r>
    </w:p>
    <w:p w:rsidR="00000000" w:rsidRPr="00220DAC" w:rsidRDefault="00BD4694" w:rsidP="00220DAC">
      <w:pPr>
        <w:pStyle w:val="BodyText"/>
      </w:pPr>
      <w:r w:rsidRPr="00220DAC">
        <w:rPr>
          <w:rStyle w:val="SpecialBold"/>
        </w:rPr>
        <w:t>Access and Equity and Client Outcomes</w:t>
      </w:r>
    </w:p>
    <w:p w:rsidR="00000000" w:rsidRPr="00220DAC" w:rsidRDefault="00BD4694" w:rsidP="00220DAC">
      <w:pPr>
        <w:pStyle w:val="BodyText"/>
      </w:pPr>
      <w:r w:rsidRPr="00220DAC">
        <w:t xml:space="preserve">Each RTO must adhere to the principles of access and equity and maximise outcomes for its clients. See the AQTF 2010 </w:t>
      </w:r>
      <w:r w:rsidRPr="00220DAC">
        <w:rPr>
          <w:rStyle w:val="Emphasis"/>
        </w:rPr>
        <w:t>Essential Standards for Initial and Continuing Registration.</w:t>
      </w:r>
    </w:p>
    <w:p w:rsidR="00000000" w:rsidRPr="00220DAC" w:rsidRDefault="00BD4694" w:rsidP="00220DAC">
      <w:pPr>
        <w:pStyle w:val="BodyText"/>
      </w:pPr>
      <w:r w:rsidRPr="00220DAC">
        <w:rPr>
          <w:rStyle w:val="SpecialBold"/>
        </w:rPr>
        <w:t>Monitoring Assessments</w:t>
      </w:r>
    </w:p>
    <w:p w:rsidR="00000000" w:rsidRPr="00220DAC" w:rsidRDefault="00BD4694" w:rsidP="00220DAC">
      <w:pPr>
        <w:pStyle w:val="BodyText"/>
      </w:pPr>
      <w:r w:rsidRPr="00220DAC">
        <w:t xml:space="preserve">Training and/or assessment provided on behalf of the RTO must be monitored to ensure that it is in accordance with all aspects of the AQTF 2010 </w:t>
      </w:r>
      <w:r w:rsidRPr="00220DAC">
        <w:rPr>
          <w:rStyle w:val="Emphasis"/>
        </w:rPr>
        <w:t>Essential Standards for Init</w:t>
      </w:r>
      <w:r w:rsidRPr="00220DAC">
        <w:rPr>
          <w:rStyle w:val="Emphasis"/>
        </w:rPr>
        <w:t>ial and Continuing Registration</w:t>
      </w:r>
      <w:r w:rsidRPr="00220DAC">
        <w:t>.</w:t>
      </w:r>
    </w:p>
    <w:p w:rsidR="00000000" w:rsidRPr="00220DAC" w:rsidRDefault="00BD4694" w:rsidP="00220DAC">
      <w:pPr>
        <w:pStyle w:val="BodyText"/>
      </w:pPr>
      <w:r w:rsidRPr="00220DAC">
        <w:rPr>
          <w:rStyle w:val="SpecialBold"/>
        </w:rPr>
        <w:t>Recording Assessment Outcomes</w:t>
      </w:r>
    </w:p>
    <w:p w:rsidR="00000000" w:rsidRPr="00220DAC" w:rsidRDefault="00BD4694" w:rsidP="00220DAC">
      <w:pPr>
        <w:pStyle w:val="BodyText"/>
      </w:pPr>
      <w:r w:rsidRPr="00220DAC">
        <w:t xml:space="preserve">Each RTO must manage records to ensure their accuracy and integrity. See the AQTF 2010 </w:t>
      </w:r>
      <w:r w:rsidRPr="00220DAC">
        <w:rPr>
          <w:rStyle w:val="Emphasis"/>
        </w:rPr>
        <w:t>Essential Standards for Initial and Continuing Registration</w:t>
      </w:r>
      <w:r w:rsidRPr="00220DAC">
        <w:t>.</w:t>
      </w:r>
    </w:p>
    <w:p w:rsidR="00000000" w:rsidRPr="00220DAC" w:rsidRDefault="00BD4694" w:rsidP="00220DAC">
      <w:pPr>
        <w:pStyle w:val="BodyText"/>
      </w:pPr>
      <w:r w:rsidRPr="00220DAC">
        <w:rPr>
          <w:rStyle w:val="SpecialBold"/>
        </w:rPr>
        <w:t>Issuing AQF qualifications and Statement of Attainment</w:t>
      </w:r>
    </w:p>
    <w:p w:rsidR="00000000" w:rsidRPr="00220DAC" w:rsidRDefault="00BD4694" w:rsidP="00220DAC">
      <w:pPr>
        <w:pStyle w:val="BodyText"/>
      </w:pPr>
      <w:r w:rsidRPr="00220DAC">
        <w:t xml:space="preserve">Each RTO must issue AQF qualifications and Statements of Attainment that meet the requirements of the current </w:t>
      </w:r>
      <w:r w:rsidRPr="00220DAC">
        <w:rPr>
          <w:rStyle w:val="Emphasis"/>
        </w:rPr>
        <w:t>AQF Implementation Handbook</w:t>
      </w:r>
      <w:r w:rsidRPr="00220DAC">
        <w:t xml:space="preserve"> and the endorsed Training Packages within the scope of its regi</w:t>
      </w:r>
      <w:r w:rsidRPr="00220DAC">
        <w:t xml:space="preserve">stration. An AQF qualification is issued once the full requirements for a qualification, as specified in the nationally endorsed Training Package are met. A Statement of Attainment is issued when an individual has completed one or more units of competency </w:t>
      </w:r>
      <w:r w:rsidRPr="00220DAC">
        <w:t xml:space="preserve">from nationally recognised qualification(s)/courses(s). See the AQTF and the edition of the </w:t>
      </w:r>
      <w:r w:rsidRPr="00220DAC">
        <w:rPr>
          <w:rStyle w:val="Emphasis"/>
        </w:rPr>
        <w:t>AQF Implementation Handbook</w:t>
      </w:r>
      <w:r w:rsidRPr="00220DAC">
        <w:t xml:space="preserve">—available on the AQF Council website &lt;www.aqf.edu.au </w:t>
      </w:r>
      <w:r w:rsidRPr="00220DAC">
        <w:rPr>
          <w:rStyle w:val="Emphasis"/>
        </w:rPr>
        <w:t>&gt;</w:t>
      </w:r>
    </w:p>
    <w:p w:rsidR="00000000" w:rsidRPr="00220DAC" w:rsidRDefault="00BD4694" w:rsidP="00220DAC">
      <w:pPr>
        <w:pStyle w:val="BodyText"/>
      </w:pPr>
      <w:r w:rsidRPr="00220DAC">
        <w:rPr>
          <w:rStyle w:val="SpecialBold"/>
        </w:rPr>
        <w:t>Licensing/Registration Requirements</w:t>
      </w:r>
    </w:p>
    <w:p w:rsidR="00000000" w:rsidRPr="00220DAC" w:rsidRDefault="00BD4694" w:rsidP="00220DAC">
      <w:pPr>
        <w:pStyle w:val="ListContinue"/>
      </w:pPr>
      <w:r w:rsidRPr="00220DAC">
        <w:lastRenderedPageBreak/>
        <w:t>This section provides information on licensi</w:t>
      </w:r>
      <w:r w:rsidRPr="00220DAC">
        <w:t xml:space="preserve">ng/registration requirements for this Training Package, with the following important disclaimer. </w:t>
      </w:r>
    </w:p>
    <w:p w:rsidR="00000000" w:rsidRPr="00220DAC" w:rsidRDefault="00BD4694" w:rsidP="00220DAC">
      <w:pPr>
        <w:pStyle w:val="ListContinue"/>
      </w:pPr>
      <w:r w:rsidRPr="00220DAC">
        <w:t>The developers of this Training Package consider that no licensing or registration requirements apply to RTOs, assessors or candidates with respect to this Tr</w:t>
      </w:r>
      <w:r w:rsidRPr="00220DAC">
        <w:t xml:space="preserve">aining Package. Contact the relevant State or Territory Department(s) to check if there are any licensing or registration requirements with which you must comply. For further information on this topic contact www.forestworks@forestworks.com.au </w:t>
      </w:r>
    </w:p>
    <w:p w:rsidR="00000000" w:rsidRPr="00220DAC" w:rsidRDefault="00BD4694" w:rsidP="00220DAC">
      <w:pPr>
        <w:pStyle w:val="BodyText"/>
      </w:pPr>
      <w:r w:rsidRPr="00220DAC">
        <w:rPr>
          <w:rStyle w:val="SpecialBold"/>
        </w:rPr>
        <w:t>Licensing/R</w:t>
      </w:r>
      <w:r w:rsidRPr="00220DAC">
        <w:rPr>
          <w:rStyle w:val="SpecialBold"/>
        </w:rPr>
        <w:t>egistration Requirements – Industry Specific Advice</w:t>
      </w:r>
    </w:p>
    <w:p w:rsidR="00000000" w:rsidRPr="00220DAC" w:rsidRDefault="00BD4694" w:rsidP="00220DAC">
      <w:pPr>
        <w:pStyle w:val="BodyText"/>
      </w:pPr>
      <w:r w:rsidRPr="00220DAC">
        <w:t>Licensing/registration requirements for particular job functions described in units of competency vary significantly. There are variations between States and Territories, and also between individual mills</w:t>
      </w:r>
      <w:r w:rsidRPr="00220DAC">
        <w:t xml:space="preserve"> depending on the equipment and processes being used.  </w:t>
      </w:r>
    </w:p>
    <w:p w:rsidR="00000000" w:rsidRPr="00220DAC" w:rsidRDefault="00BD4694" w:rsidP="00220DAC">
      <w:pPr>
        <w:pStyle w:val="BodyText"/>
      </w:pPr>
      <w:r w:rsidRPr="00220DAC">
        <w:t>Organisations delivering training must determine the applicable licensing requirements associated with the equipment being used, in the relevant states and territories. To assist this, some units note</w:t>
      </w:r>
      <w:r w:rsidRPr="00220DAC">
        <w:t xml:space="preserve"> that specific licensing/registration requirements may apply.  </w:t>
      </w:r>
    </w:p>
    <w:p w:rsidR="00000000" w:rsidRPr="00220DAC" w:rsidRDefault="00BD4694" w:rsidP="00220DAC">
      <w:pPr>
        <w:pStyle w:val="BodyText"/>
      </w:pPr>
      <w:r w:rsidRPr="00220DAC">
        <w:t xml:space="preserve">Furthermore, the relevant units stipulate that any applicable licensing/registration requirements must be met separately and prior to the achievement of the respective unit from this training </w:t>
      </w:r>
      <w:r w:rsidRPr="00220DAC">
        <w:t xml:space="preserve">package. Therefore, both assessors and candidates must hold the relevant licensing/registration requirements prior to commencing training or assessing in the respective units from this training package. </w:t>
      </w:r>
    </w:p>
    <w:p w:rsidR="00000000" w:rsidRPr="00220DAC" w:rsidRDefault="00BD4694" w:rsidP="00220DAC">
      <w:pPr>
        <w:pStyle w:val="BodyText"/>
      </w:pPr>
      <w:r w:rsidRPr="00220DAC">
        <w:t>As such, the units of competency contained in this t</w:t>
      </w:r>
      <w:r w:rsidRPr="00220DAC">
        <w:t>raining package do not cover licensing/registration requirements.</w:t>
      </w:r>
    </w:p>
    <w:p w:rsidR="00000000" w:rsidRPr="00220DAC" w:rsidRDefault="00BD4694" w:rsidP="00220DAC">
      <w:pPr>
        <w:pStyle w:val="BodyText"/>
      </w:pPr>
      <w:r w:rsidRPr="00220DAC">
        <w:rPr>
          <w:rStyle w:val="SpecialBold"/>
        </w:rPr>
        <w:t>Pathways</w:t>
      </w:r>
    </w:p>
    <w:p w:rsidR="00000000" w:rsidRPr="00220DAC" w:rsidRDefault="00BD4694" w:rsidP="00220DAC">
      <w:pPr>
        <w:pStyle w:val="BodyText"/>
      </w:pPr>
      <w:r w:rsidRPr="00220DAC">
        <w:t>The competencies in this Training Package may be attained in a number of ways including through:</w:t>
      </w:r>
    </w:p>
    <w:p w:rsidR="00000000" w:rsidRPr="00220DAC" w:rsidRDefault="00BD4694" w:rsidP="00220DAC">
      <w:pPr>
        <w:pStyle w:val="ListBullet"/>
      </w:pPr>
      <w:r w:rsidRPr="00220DAC">
        <w:t xml:space="preserve">formal or informal education and training </w:t>
      </w:r>
    </w:p>
    <w:p w:rsidR="00000000" w:rsidRPr="00220DAC" w:rsidRDefault="00BD4694" w:rsidP="00220DAC">
      <w:pPr>
        <w:pStyle w:val="ListBullet"/>
      </w:pPr>
      <w:r w:rsidRPr="00220DAC">
        <w:t>experiences in the workplace</w:t>
      </w:r>
    </w:p>
    <w:p w:rsidR="00000000" w:rsidRPr="00220DAC" w:rsidRDefault="00BD4694" w:rsidP="00220DAC">
      <w:pPr>
        <w:pStyle w:val="ListBullet"/>
      </w:pPr>
      <w:r w:rsidRPr="00220DAC">
        <w:t>general life experience, and/or</w:t>
      </w:r>
    </w:p>
    <w:p w:rsidR="00000000" w:rsidRPr="00220DAC" w:rsidRDefault="00BD4694" w:rsidP="00220DAC">
      <w:pPr>
        <w:pStyle w:val="ListBullet"/>
      </w:pPr>
      <w:r w:rsidRPr="00220DAC">
        <w:t>any combination of the above.</w:t>
      </w:r>
    </w:p>
    <w:p w:rsidR="00000000" w:rsidRPr="00220DAC" w:rsidRDefault="00BD4694" w:rsidP="00220DAC">
      <w:pPr>
        <w:pStyle w:val="BodyText"/>
      </w:pPr>
      <w:r w:rsidRPr="00220DAC">
        <w:t xml:space="preserve">Assessment under this Training Package leading to an AQF qualification or Statement of Attainment may follow a learning and assessment pathway, or a recognition pathway, or a combination of the </w:t>
      </w:r>
      <w:r w:rsidRPr="00220DAC">
        <w:t>two as illustrated in the following diagram.</w:t>
      </w:r>
    </w:p>
    <w:p w:rsidR="00000000" w:rsidRPr="00220DAC" w:rsidRDefault="00BD4694" w:rsidP="00220DAC">
      <w:pPr>
        <w:pStyle w:val="BodyText"/>
      </w:pPr>
    </w:p>
    <w:p w:rsidR="00000000" w:rsidRPr="00220DAC" w:rsidRDefault="00BD4694" w:rsidP="00220DAC">
      <w:pPr>
        <w:pStyle w:val="BodyText"/>
        <w:keepNext w:val="0"/>
      </w:pPr>
      <w:bookmarkStart w:id="21" w:name="O_330272"/>
      <w:r>
        <w:pict>
          <v:shape id="_x0000_i1052" type="#_x0000_t75" style="width:447pt;height:177.75pt">
            <v:imagedata r:id="rId18" o:title=""/>
          </v:shape>
        </w:pict>
      </w:r>
      <w:bookmarkEnd w:id="21"/>
    </w:p>
    <w:p w:rsidR="00000000" w:rsidRPr="00220DAC" w:rsidRDefault="00BD4694" w:rsidP="00220DAC">
      <w:pPr>
        <w:pStyle w:val="BodyText"/>
      </w:pPr>
    </w:p>
    <w:p w:rsidR="00000000" w:rsidRPr="00220DAC" w:rsidRDefault="00BD4694" w:rsidP="00220DAC">
      <w:pPr>
        <w:pStyle w:val="BodyText"/>
      </w:pPr>
      <w:r w:rsidRPr="00220DAC">
        <w:t>Each of these</w:t>
      </w:r>
      <w:r w:rsidRPr="00220DAC">
        <w:t xml:space="preserve"> assessment pathways leads to full recognition of competencies held – the critical issue is that the candidate is competent, not how the competency was acquired. </w:t>
      </w:r>
    </w:p>
    <w:p w:rsidR="00000000" w:rsidRPr="00220DAC" w:rsidRDefault="00BD4694" w:rsidP="00220DAC">
      <w:pPr>
        <w:pStyle w:val="BodyText"/>
      </w:pPr>
      <w:r w:rsidRPr="00220DAC">
        <w:t>Assessment, by any pathway, must comply with the assessment requirements set out in the Asses</w:t>
      </w:r>
      <w:r w:rsidRPr="00220DAC">
        <w:t xml:space="preserve">sment Guidelines of the Training Package , the AQTF and, where relevant, the Australian Qualifications Framework. </w:t>
      </w:r>
    </w:p>
    <w:p w:rsidR="00000000" w:rsidRPr="00220DAC" w:rsidRDefault="00BD4694" w:rsidP="00220DAC">
      <w:pPr>
        <w:pStyle w:val="BodyText"/>
      </w:pPr>
      <w:r w:rsidRPr="00220DAC">
        <w:rPr>
          <w:rStyle w:val="SpecialBold"/>
        </w:rPr>
        <w:t>Learning and Assessment Pathways</w:t>
      </w:r>
    </w:p>
    <w:p w:rsidR="00000000" w:rsidRPr="00220DAC" w:rsidRDefault="00BD4694" w:rsidP="00220DAC">
      <w:pPr>
        <w:pStyle w:val="BodyText"/>
      </w:pPr>
      <w:r w:rsidRPr="00220DAC">
        <w:t xml:space="preserve">Usually, learning and assessment are integrated, with evidence being collected and feedback provided to the </w:t>
      </w:r>
      <w:r w:rsidRPr="00220DAC">
        <w:t>candidate at anytime throughout the learning and assessment process.</w:t>
      </w:r>
    </w:p>
    <w:p w:rsidR="00000000" w:rsidRPr="00220DAC" w:rsidRDefault="00BD4694" w:rsidP="00220DAC">
      <w:pPr>
        <w:pStyle w:val="BodyText"/>
      </w:pPr>
      <w:r w:rsidRPr="00220DAC">
        <w:t>Learning and assessment pathways may include structured programs in a variety of contexts using a range of strategies to meet different learner needs. Structured learning and assessment p</w:t>
      </w:r>
      <w:r w:rsidRPr="00220DAC">
        <w:t xml:space="preserve">rograms could be: group-based, work-based, project-based, self-paced, action learning-based; conducted by distance or e-learning; and/or involve practice and experience in the workplace. </w:t>
      </w:r>
    </w:p>
    <w:p w:rsidR="00000000" w:rsidRPr="00220DAC" w:rsidRDefault="00BD4694" w:rsidP="00220DAC">
      <w:pPr>
        <w:pStyle w:val="BodyText"/>
      </w:pPr>
      <w:r w:rsidRPr="00220DAC">
        <w:t xml:space="preserve">Learning and assessment pathways to suit Australian Apprenticeships </w:t>
      </w:r>
      <w:r w:rsidRPr="00220DAC">
        <w:t>have a mix of formal structured training and structured workplace experience with formative assessment activities through which candidates can acquire and demonstrate skills and knowledge from the relevant units of competency.</w:t>
      </w:r>
    </w:p>
    <w:p w:rsidR="00000000" w:rsidRPr="00220DAC" w:rsidRDefault="00BD4694" w:rsidP="00220DAC">
      <w:pPr>
        <w:pStyle w:val="BodyText"/>
      </w:pPr>
    </w:p>
    <w:p w:rsidR="00000000" w:rsidRPr="00220DAC" w:rsidRDefault="00BD4694" w:rsidP="00220DAC">
      <w:pPr>
        <w:pStyle w:val="BodyText"/>
      </w:pPr>
      <w:r w:rsidRPr="00220DAC">
        <w:rPr>
          <w:rStyle w:val="SpecialBold"/>
        </w:rPr>
        <w:t>Credit Pathways</w:t>
      </w:r>
    </w:p>
    <w:p w:rsidR="00000000" w:rsidRPr="00220DAC" w:rsidRDefault="00BD4694" w:rsidP="00220DAC">
      <w:pPr>
        <w:pStyle w:val="BodyText"/>
      </w:pPr>
      <w:r w:rsidRPr="00220DAC">
        <w:rPr>
          <w:rStyle w:val="Emphasis"/>
        </w:rPr>
        <w:t xml:space="preserve">Credit </w:t>
      </w:r>
      <w:r w:rsidRPr="00220DAC">
        <w:t>is th</w:t>
      </w:r>
      <w:r w:rsidRPr="00220DAC">
        <w:t xml:space="preserve">e value assigned for the recognition of equivalence in content between different types of learning and/or qualifications which reduces the volume of learning required to achieve a qualification. </w:t>
      </w:r>
    </w:p>
    <w:p w:rsidR="00000000" w:rsidRPr="00220DAC" w:rsidRDefault="00BD4694" w:rsidP="00220DAC">
      <w:pPr>
        <w:pStyle w:val="BodyText"/>
      </w:pPr>
      <w:r w:rsidRPr="00220DAC">
        <w:t>Credit arrangements must be offered by all RTOs that offer T</w:t>
      </w:r>
      <w:r w:rsidRPr="00220DAC">
        <w:t>raining Package qualifications. Each RTO must have a systematic institutional approach with clear, accessible and transparent policies and procedures.</w:t>
      </w:r>
    </w:p>
    <w:p w:rsidR="00000000" w:rsidRPr="00220DAC" w:rsidRDefault="00BD4694" w:rsidP="00220DAC">
      <w:pPr>
        <w:pStyle w:val="BodyText"/>
      </w:pPr>
      <w:r w:rsidRPr="00220DAC">
        <w:t>Competencies already held by individuals can be formally assessed against the units of competency in this</w:t>
      </w:r>
      <w:r w:rsidRPr="00220DAC">
        <w:t xml:space="preserve"> Training Package, and should be recognised regardless of how, when or where they were acquired, provided that the learning is relevant to the unit of competency outcomes.  </w:t>
      </w:r>
    </w:p>
    <w:p w:rsidR="00000000" w:rsidRPr="00220DAC" w:rsidRDefault="00BD4694" w:rsidP="00220DAC">
      <w:pPr>
        <w:pStyle w:val="BodyText"/>
      </w:pPr>
      <w:r w:rsidRPr="00220DAC">
        <w:rPr>
          <w:rStyle w:val="SpecialBold"/>
        </w:rPr>
        <w:t>Recognition of Prior Learning</w:t>
      </w:r>
    </w:p>
    <w:p w:rsidR="00000000" w:rsidRPr="00220DAC" w:rsidRDefault="00BD4694" w:rsidP="00220DAC">
      <w:pPr>
        <w:pStyle w:val="BodyText"/>
      </w:pPr>
      <w:r w:rsidRPr="00220DAC">
        <w:t>Recognition of Prior Learning (RPL) is an assessment</w:t>
      </w:r>
      <w:r w:rsidRPr="00220DAC">
        <w:t xml:space="preserve"> process which determines the credit outcomes of an individual application for credit.</w:t>
      </w:r>
    </w:p>
    <w:p w:rsidR="00000000" w:rsidRPr="00220DAC" w:rsidRDefault="00BD4694" w:rsidP="00220DAC">
      <w:pPr>
        <w:pStyle w:val="BodyText"/>
      </w:pPr>
      <w:r w:rsidRPr="00220DAC">
        <w:t>The availability of Recognition of Prior Learning (RPL) provides all potential learners with access to credit opportunities.</w:t>
      </w:r>
    </w:p>
    <w:p w:rsidR="00000000" w:rsidRPr="00220DAC" w:rsidRDefault="00BD4694" w:rsidP="00220DAC">
      <w:pPr>
        <w:pStyle w:val="BodyText"/>
      </w:pPr>
      <w:r w:rsidRPr="00220DAC">
        <w:t>The recognition of prior learning pathway is appropriate for candidates who have previously attained skills and knowledge and who, when enrolling in qualifications, seek to shorten the duration of their training and either continue or commence working. Thi</w:t>
      </w:r>
      <w:r w:rsidRPr="00220DAC">
        <w:t xml:space="preserve">s may include the following groups of people:  </w:t>
      </w:r>
    </w:p>
    <w:p w:rsidR="00000000" w:rsidRPr="00220DAC" w:rsidRDefault="00BD4694" w:rsidP="00220DAC">
      <w:pPr>
        <w:pStyle w:val="ListBullet"/>
      </w:pPr>
      <w:r w:rsidRPr="00220DAC">
        <w:t>existing workers;</w:t>
      </w:r>
    </w:p>
    <w:p w:rsidR="00000000" w:rsidRPr="00220DAC" w:rsidRDefault="00BD4694" w:rsidP="00220DAC">
      <w:pPr>
        <w:pStyle w:val="ListBullet"/>
      </w:pPr>
      <w:r w:rsidRPr="00220DAC">
        <w:t>individuals with overseas qualifications;</w:t>
      </w:r>
    </w:p>
    <w:p w:rsidR="00000000" w:rsidRPr="00220DAC" w:rsidRDefault="00BD4694" w:rsidP="00220DAC">
      <w:pPr>
        <w:pStyle w:val="ListBullet"/>
      </w:pPr>
      <w:r w:rsidRPr="00220DAC">
        <w:t>recent migrants with established work histories;</w:t>
      </w:r>
    </w:p>
    <w:p w:rsidR="00000000" w:rsidRPr="00220DAC" w:rsidRDefault="00BD4694" w:rsidP="00220DAC">
      <w:pPr>
        <w:pStyle w:val="ListBullet"/>
      </w:pPr>
      <w:r w:rsidRPr="00220DAC">
        <w:t xml:space="preserve">people returning to the workplace; and </w:t>
      </w:r>
    </w:p>
    <w:p w:rsidR="00000000" w:rsidRPr="00220DAC" w:rsidRDefault="00BD4694" w:rsidP="00220DAC">
      <w:pPr>
        <w:pStyle w:val="ListBullet"/>
      </w:pPr>
      <w:r w:rsidRPr="00220DAC">
        <w:t>people with disabilities or injuries requiring a change in</w:t>
      </w:r>
      <w:r w:rsidRPr="00220DAC">
        <w:t xml:space="preserve"> career. </w:t>
      </w:r>
    </w:p>
    <w:p w:rsidR="00000000" w:rsidRPr="00220DAC" w:rsidRDefault="00BD4694" w:rsidP="00220DAC">
      <w:pPr>
        <w:pStyle w:val="BodyText"/>
      </w:pPr>
      <w:r w:rsidRPr="00220DAC">
        <w:t>As with all assessment, RPL assessment should be undertaken by academic or teaching staff with expertise in the subject, content of skills area, as well as knowledge of and expertise in RPL assessment policies and procedures.</w:t>
      </w:r>
    </w:p>
    <w:p w:rsidR="00000000" w:rsidRPr="00220DAC" w:rsidRDefault="00BD4694" w:rsidP="00220DAC">
      <w:pPr>
        <w:pStyle w:val="BodyText"/>
      </w:pPr>
      <w:r w:rsidRPr="00220DAC">
        <w:lastRenderedPageBreak/>
        <w:t>Assessment methods u</w:t>
      </w:r>
      <w:r w:rsidRPr="00220DAC">
        <w:t xml:space="preserve">sed for RPL should provide a range of ways for individuals to demonstrate that they have met the required outcomes and can be granted credit. These might include: </w:t>
      </w:r>
    </w:p>
    <w:p w:rsidR="00000000" w:rsidRPr="00220DAC" w:rsidRDefault="00BD4694" w:rsidP="00220DAC">
      <w:pPr>
        <w:pStyle w:val="ListBullet"/>
      </w:pPr>
      <w:r w:rsidRPr="00220DAC">
        <w:t xml:space="preserve">questioning (oral or written) </w:t>
      </w:r>
    </w:p>
    <w:p w:rsidR="00000000" w:rsidRPr="00220DAC" w:rsidRDefault="00BD4694" w:rsidP="00220DAC">
      <w:pPr>
        <w:pStyle w:val="ListBullet"/>
      </w:pPr>
      <w:r w:rsidRPr="00220DAC">
        <w:t xml:space="preserve">consideration of a portfolio and review of contents </w:t>
      </w:r>
    </w:p>
    <w:p w:rsidR="00000000" w:rsidRPr="00220DAC" w:rsidRDefault="00BD4694" w:rsidP="00220DAC">
      <w:pPr>
        <w:pStyle w:val="ListBullet"/>
      </w:pPr>
      <w:r w:rsidRPr="00220DAC">
        <w:t>conside</w:t>
      </w:r>
      <w:r w:rsidRPr="00220DAC">
        <w:t>ration of third party reports and/or other documentation such as documentation such as articles, reports, project material, papers, testimonials or other products prepared by the RPL applicant that relate to the learning outcomes of the relevant qualificat</w:t>
      </w:r>
      <w:r w:rsidRPr="00220DAC">
        <w:t xml:space="preserve">ion component </w:t>
      </w:r>
    </w:p>
    <w:p w:rsidR="00000000" w:rsidRPr="00220DAC" w:rsidRDefault="00BD4694" w:rsidP="00220DAC">
      <w:pPr>
        <w:pStyle w:val="ListBullet"/>
      </w:pPr>
      <w:r w:rsidRPr="00220DAC">
        <w:t xml:space="preserve">mapping of learning outcomes from prior formal or non-formal learning to the relevant qualification components </w:t>
      </w:r>
    </w:p>
    <w:p w:rsidR="00000000" w:rsidRPr="00220DAC" w:rsidRDefault="00BD4694" w:rsidP="00220DAC">
      <w:pPr>
        <w:pStyle w:val="ListBullet"/>
      </w:pPr>
      <w:r w:rsidRPr="00220DAC">
        <w:t xml:space="preserve">observation of performance, and </w:t>
      </w:r>
    </w:p>
    <w:p w:rsidR="00000000" w:rsidRPr="00220DAC" w:rsidRDefault="00BD4694" w:rsidP="00220DAC">
      <w:pPr>
        <w:pStyle w:val="ListBullet"/>
      </w:pPr>
      <w:r w:rsidRPr="00220DAC">
        <w:t>participation in structured assessment activities the individual would normally be required to u</w:t>
      </w:r>
      <w:r w:rsidRPr="00220DAC">
        <w:t xml:space="preserve">ndertake if they were enrolled in the qualification component/s. </w:t>
      </w:r>
    </w:p>
    <w:p w:rsidR="00000000" w:rsidRPr="00220DAC" w:rsidRDefault="00BD4694" w:rsidP="00220DAC">
      <w:pPr>
        <w:pStyle w:val="BodyText"/>
      </w:pPr>
      <w:r w:rsidRPr="00220DAC">
        <w:t>In a Recognition of Prior Learning (RPL) pathway, the candidate provides current, quality evidence of their competency against the relevant unit of competency. This process may be directed b</w:t>
      </w:r>
      <w:r w:rsidRPr="00220DAC">
        <w:t>y the candidate and verified by the assessor. Where the outcomes of this process indicate that the candidate is competent, structured training is not required. The RPL requirements of the AQTF must be met.</w:t>
      </w:r>
    </w:p>
    <w:p w:rsidR="00000000" w:rsidRPr="00220DAC" w:rsidRDefault="00BD4694" w:rsidP="00220DAC">
      <w:pPr>
        <w:pStyle w:val="BodyText"/>
      </w:pPr>
      <w:r w:rsidRPr="00220DAC">
        <w:t>As with all assessment, the assessor must be confi</w:t>
      </w:r>
      <w:r w:rsidRPr="00220DAC">
        <w:t>dent that the evidence indicates that the candidate is currently competent against the endorsed unit of competency. This evidence may take a variety of forms and might include certification, references from past employers, testimonials from clients, work s</w:t>
      </w:r>
      <w:r w:rsidRPr="00220DAC">
        <w:t xml:space="preserve">amples and/or observation of the candidate. The onus is on candidates to provide sufficient evidence to satisfy assessors that they currently hold the relevant competencies. In judging evidence, the assessor must ensure that the evidence of prior learning </w:t>
      </w:r>
      <w:r w:rsidRPr="00220DAC">
        <w:t>is:</w:t>
      </w:r>
    </w:p>
    <w:p w:rsidR="00000000" w:rsidRPr="00220DAC" w:rsidRDefault="00BD4694" w:rsidP="00220DAC">
      <w:pPr>
        <w:pStyle w:val="ListBullet"/>
      </w:pPr>
      <w:r w:rsidRPr="00220DAC">
        <w:t>authentic (the candidate’s own work);</w:t>
      </w:r>
    </w:p>
    <w:p w:rsidR="00000000" w:rsidRPr="00220DAC" w:rsidRDefault="00BD4694" w:rsidP="00220DAC">
      <w:pPr>
        <w:pStyle w:val="ListBullet"/>
      </w:pPr>
      <w:r w:rsidRPr="00220DAC">
        <w:t>valid (directly related to the current version of the relevant endorsed unit of competency);</w:t>
      </w:r>
    </w:p>
    <w:p w:rsidR="00000000" w:rsidRPr="00220DAC" w:rsidRDefault="00BD4694" w:rsidP="00220DAC">
      <w:pPr>
        <w:pStyle w:val="ListBullet"/>
      </w:pPr>
      <w:r w:rsidRPr="00220DAC">
        <w:t>reliable (shows that the candidate consistently meets the endorsed unit of competency);</w:t>
      </w:r>
    </w:p>
    <w:p w:rsidR="00000000" w:rsidRPr="00220DAC" w:rsidRDefault="00BD4694" w:rsidP="00220DAC">
      <w:pPr>
        <w:pStyle w:val="ListBullet"/>
      </w:pPr>
      <w:r w:rsidRPr="00220DAC">
        <w:t>current (reflects the candidate’</w:t>
      </w:r>
      <w:r w:rsidRPr="00220DAC">
        <w:t>s current capacity to perform the aspect of the work covered by the endorsed unit of competency); and</w:t>
      </w:r>
    </w:p>
    <w:p w:rsidR="00000000" w:rsidRPr="00220DAC" w:rsidRDefault="00BD4694" w:rsidP="00220DAC">
      <w:pPr>
        <w:pStyle w:val="ListBullet"/>
      </w:pPr>
      <w:r w:rsidRPr="00220DAC">
        <w:t>sufficient (covers the full range of elements in the relevant unit of competency and addresses the four dimensions of competency, namely task skills, task</w:t>
      </w:r>
      <w:r w:rsidRPr="00220DAC">
        <w:t xml:space="preserve"> management skills, contingency management skills, and job/role environment skills).</w:t>
      </w:r>
    </w:p>
    <w:p w:rsidR="00000000" w:rsidRPr="00220DAC" w:rsidRDefault="00BD4694" w:rsidP="00220DAC">
      <w:pPr>
        <w:pStyle w:val="BodyText"/>
      </w:pPr>
      <w:r w:rsidRPr="00220DAC">
        <w:rPr>
          <w:rStyle w:val="SpecialBold"/>
        </w:rPr>
        <w:t>Credit Transfer</w:t>
      </w:r>
    </w:p>
    <w:p w:rsidR="00000000" w:rsidRPr="00220DAC" w:rsidRDefault="00BD4694" w:rsidP="00220DAC">
      <w:pPr>
        <w:pStyle w:val="BodyText"/>
      </w:pPr>
      <w:r w:rsidRPr="00220DAC">
        <w:t xml:space="preserve">Credit transfer is a process which provides learners with agreed and consistent credit outcomes based on equivalences in content between matched qualifications. </w:t>
      </w:r>
    </w:p>
    <w:p w:rsidR="00000000" w:rsidRPr="00220DAC" w:rsidRDefault="00BD4694" w:rsidP="00220DAC">
      <w:pPr>
        <w:pStyle w:val="BodyText"/>
      </w:pPr>
      <w:r w:rsidRPr="00220DAC">
        <w:t xml:space="preserve">This process involves education institutions: </w:t>
      </w:r>
    </w:p>
    <w:p w:rsidR="00000000" w:rsidRPr="00220DAC" w:rsidRDefault="00BD4694" w:rsidP="00220DAC">
      <w:pPr>
        <w:pStyle w:val="ListBullet"/>
      </w:pPr>
      <w:r w:rsidRPr="00220DAC">
        <w:t>mapping, comparing and evaluating the extent t</w:t>
      </w:r>
      <w:r w:rsidRPr="00220DAC">
        <w:t xml:space="preserve">o which the defined </w:t>
      </w:r>
      <w:r w:rsidRPr="00220DAC">
        <w:rPr>
          <w:rStyle w:val="Emphasis"/>
        </w:rPr>
        <w:t xml:space="preserve">learning outcomes and assessment requirements </w:t>
      </w:r>
      <w:r w:rsidRPr="00220DAC">
        <w:t xml:space="preserve">of the individual </w:t>
      </w:r>
      <w:r w:rsidRPr="00220DAC">
        <w:rPr>
          <w:rStyle w:val="Emphasis"/>
        </w:rPr>
        <w:t xml:space="preserve">components of one qualification </w:t>
      </w:r>
      <w:r w:rsidRPr="00220DAC">
        <w:t xml:space="preserve">are equivalent to the learning outcomes and assessment requirements of the individual components of another qualification </w:t>
      </w:r>
    </w:p>
    <w:p w:rsidR="00000000" w:rsidRPr="00220DAC" w:rsidRDefault="00BD4694" w:rsidP="00220DAC">
      <w:pPr>
        <w:pStyle w:val="ListBullet"/>
      </w:pPr>
      <w:r w:rsidRPr="00220DAC">
        <w:t>making an educati</w:t>
      </w:r>
      <w:r w:rsidRPr="00220DAC">
        <w:t xml:space="preserve">onal judgment of the credit outcomes to be assigned between the matched components of the two qualifications </w:t>
      </w:r>
    </w:p>
    <w:p w:rsidR="00000000" w:rsidRPr="00220DAC" w:rsidRDefault="00BD4694" w:rsidP="00220DAC">
      <w:pPr>
        <w:pStyle w:val="ListBullet"/>
      </w:pPr>
      <w:r w:rsidRPr="00220DAC">
        <w:t xml:space="preserve">setting out the agreed credit outcomes in a documented arrangement or agreement, and </w:t>
      </w:r>
    </w:p>
    <w:p w:rsidR="00000000" w:rsidRPr="00220DAC" w:rsidRDefault="00BD4694" w:rsidP="00220DAC">
      <w:pPr>
        <w:pStyle w:val="ListBullet"/>
      </w:pPr>
      <w:r w:rsidRPr="00220DAC">
        <w:t xml:space="preserve">publicising the arrangement/agreement and credit available. </w:t>
      </w:r>
    </w:p>
    <w:p w:rsidR="00000000" w:rsidRPr="00220DAC" w:rsidRDefault="00BD4694" w:rsidP="00220DAC">
      <w:pPr>
        <w:pStyle w:val="BodyText"/>
      </w:pPr>
      <w:r w:rsidRPr="00220DAC">
        <w:rPr>
          <w:rStyle w:val="SpecialBold"/>
        </w:rPr>
        <w:lastRenderedPageBreak/>
        <w:t>Combination of Pathways</w:t>
      </w:r>
    </w:p>
    <w:p w:rsidR="00000000" w:rsidRPr="00220DAC" w:rsidRDefault="00BD4694" w:rsidP="00220DAC">
      <w:pPr>
        <w:pStyle w:val="BodyText"/>
      </w:pPr>
      <w:r w:rsidRPr="00220DAC">
        <w:t xml:space="preserve">Credit may be awarded on the basis of a combination of credit transfer plus an individual RPL assessment for additional learning. Once credit has been awarded on the basis of RPL, subsequent credit transfer based on these learning </w:t>
      </w:r>
      <w:r w:rsidRPr="00220DAC">
        <w:t xml:space="preserve">outcomes should not include revisiting the RPL assessment but should be based on credit transfer or articulation or other arrangements between providers. </w:t>
      </w:r>
    </w:p>
    <w:p w:rsidR="00000000" w:rsidRPr="00220DAC" w:rsidRDefault="00BD4694" w:rsidP="00220DAC">
      <w:pPr>
        <w:pStyle w:val="BodyText"/>
      </w:pPr>
      <w:r w:rsidRPr="00220DAC">
        <w:t>Where candidates for assessment have gained competencies through work and life experience and gaps in</w:t>
      </w:r>
      <w:r w:rsidRPr="00220DAC">
        <w:t xml:space="preserve"> their competence are identified, or where they require training in new areas, a combination of pathways may be appropriate.</w:t>
      </w:r>
    </w:p>
    <w:p w:rsidR="00000000" w:rsidRPr="00220DAC" w:rsidRDefault="00BD4694" w:rsidP="00220DAC">
      <w:pPr>
        <w:pStyle w:val="BodyText"/>
      </w:pPr>
      <w:r w:rsidRPr="00220DAC">
        <w:t>In such situations, the candidate may undertake an initial assessment to determine their current competency. Once current competenc</w:t>
      </w:r>
      <w:r w:rsidRPr="00220DAC">
        <w:t>y is identified, a structured learning and assessment program ensures that the candidate acquires the required additional competencies identified as gaps.</w:t>
      </w:r>
    </w:p>
    <w:p w:rsidR="00000000" w:rsidRPr="00220DAC" w:rsidRDefault="00BD4694" w:rsidP="00220DAC">
      <w:pPr>
        <w:pStyle w:val="BodyText"/>
      </w:pPr>
      <w:r w:rsidRPr="00220DAC">
        <w:rPr>
          <w:rStyle w:val="SpecialBold"/>
        </w:rPr>
        <w:t>Assessor Requirements</w:t>
      </w:r>
    </w:p>
    <w:p w:rsidR="00000000" w:rsidRPr="00220DAC" w:rsidRDefault="00BD4694" w:rsidP="00220DAC">
      <w:pPr>
        <w:pStyle w:val="BodyText"/>
      </w:pPr>
      <w:r w:rsidRPr="00220DAC">
        <w:t xml:space="preserve">This section identifies the specific requirements on the vocational competence </w:t>
      </w:r>
      <w:r w:rsidRPr="00220DAC">
        <w:t xml:space="preserve">and experience for assessors, to ensure that they meet the needs of industry and their obligations under AQTF, and clarifies how others may contribute to the assessment process where one person alone does not hold all the required competencies. </w:t>
      </w:r>
    </w:p>
    <w:p w:rsidR="00000000" w:rsidRPr="00220DAC" w:rsidRDefault="00BD4694" w:rsidP="00220DAC">
      <w:pPr>
        <w:pStyle w:val="BodyText"/>
      </w:pPr>
      <w:r w:rsidRPr="00220DAC">
        <w:rPr>
          <w:rStyle w:val="SpecialBold"/>
        </w:rPr>
        <w:t>Assessor C</w:t>
      </w:r>
      <w:r w:rsidRPr="00220DAC">
        <w:rPr>
          <w:rStyle w:val="SpecialBold"/>
        </w:rPr>
        <w:t>ompetencies</w:t>
      </w:r>
    </w:p>
    <w:p w:rsidR="00000000" w:rsidRPr="00220DAC" w:rsidRDefault="00BD4694" w:rsidP="00220DAC">
      <w:pPr>
        <w:pStyle w:val="BodyText"/>
      </w:pPr>
      <w:r w:rsidRPr="00220DAC">
        <w:t>The</w:t>
      </w:r>
      <w:r w:rsidRPr="00220DAC">
        <w:rPr>
          <w:rStyle w:val="Emphasis"/>
        </w:rPr>
        <w:t>AQTF specifies mandatory competency requirements for assessors. For information, Element 1.4 from the AQTF 2007 Essential Standards for Registration follows:</w:t>
      </w:r>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789"/>
      </w:tblGrid>
      <w:tr w:rsidR="00000000" w:rsidRPr="00220DAC" w:rsidTr="00220DAC">
        <w:trPr>
          <w:trHeight w:val="2619"/>
        </w:trPr>
        <w:tc>
          <w:tcPr>
            <w:tcW w:w="878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p>
          <w:p w:rsidR="00000000" w:rsidRPr="00220DAC" w:rsidRDefault="00BD4694" w:rsidP="00220DAC">
            <w:pPr>
              <w:pStyle w:val="BodyText"/>
            </w:pPr>
            <w:r w:rsidRPr="00220DAC">
              <w:t>1.4</w:t>
            </w:r>
            <w:r w:rsidRPr="00220DAC">
              <w:tab/>
              <w:t>Training and assessment are conducted by trainers and assessors who:</w:t>
            </w:r>
          </w:p>
          <w:p w:rsidR="00000000" w:rsidRPr="00220DAC" w:rsidRDefault="00BD4694" w:rsidP="00220DAC">
            <w:pPr>
              <w:pStyle w:val="ListAlpha"/>
            </w:pPr>
            <w:r w:rsidRPr="00220DAC">
              <w:t xml:space="preserve"> have the necessary training and assessment competencies as determined by the National Quality Council or its successors, and</w:t>
            </w:r>
          </w:p>
          <w:p w:rsidR="00000000" w:rsidRPr="00220DAC" w:rsidRDefault="00BD4694" w:rsidP="00220DAC">
            <w:pPr>
              <w:pStyle w:val="ListAlpha"/>
            </w:pPr>
            <w:r w:rsidRPr="00220DAC">
              <w:tab/>
              <w:t>have the relevant vocational competencies at least to the level being delivered or assessed, and</w:t>
            </w:r>
          </w:p>
          <w:p w:rsidR="00000000" w:rsidRPr="00220DAC" w:rsidRDefault="00BD4694" w:rsidP="00220DAC">
            <w:pPr>
              <w:pStyle w:val="ListAlpha"/>
            </w:pPr>
            <w:r w:rsidRPr="00220DAC">
              <w:tab/>
            </w:r>
            <w:r w:rsidRPr="00220DAC">
              <w:t>can demonstrate current industry skills directly relevant to the training/assessment being undertaken, and</w:t>
            </w:r>
          </w:p>
          <w:p w:rsidR="00000000" w:rsidRPr="00220DAC" w:rsidRDefault="00BD4694" w:rsidP="00220DAC">
            <w:pPr>
              <w:pStyle w:val="ListAlpha"/>
            </w:pPr>
            <w:r w:rsidRPr="00220DAC">
              <w:tab/>
              <w:t>continue to develop their Vocational Education and Training (VET) knowledge and skills as well as their industry currency and trainer/assessor compe</w:t>
            </w:r>
            <w:r w:rsidRPr="00220DAC">
              <w:t>tence.</w:t>
            </w:r>
          </w:p>
          <w:p w:rsidR="00000000" w:rsidRPr="00220DAC" w:rsidRDefault="00BD4694" w:rsidP="00220DAC">
            <w:pPr>
              <w:pStyle w:val="BodyText"/>
            </w:pPr>
            <w:r w:rsidRPr="00220DAC">
              <w:t>* See AQTF 2010</w:t>
            </w:r>
            <w:r w:rsidRPr="00220DAC">
              <w:rPr>
                <w:rStyle w:val="Emphasis"/>
              </w:rPr>
              <w:t xml:space="preserve"> Users’ Guide to the Essential Standards for Registration</w:t>
            </w:r>
            <w:r w:rsidRPr="00220DAC">
              <w:t xml:space="preserve"> – Appendix 2</w:t>
            </w:r>
          </w:p>
        </w:tc>
      </w:tr>
    </w:tbl>
    <w:p w:rsidR="00000000" w:rsidRPr="00220DAC" w:rsidRDefault="00BD4694" w:rsidP="00220DAC">
      <w:pPr>
        <w:pStyle w:val="BodyText"/>
      </w:pPr>
    </w:p>
    <w:p w:rsidR="00000000" w:rsidRPr="00220DAC" w:rsidRDefault="00BD4694" w:rsidP="00220DAC">
      <w:pPr>
        <w:pStyle w:val="BodyText"/>
      </w:pPr>
      <w:r w:rsidRPr="00220DAC">
        <w:rPr>
          <w:rStyle w:val="SpecialBold"/>
        </w:rPr>
        <w:t>Designing Assessment Tools</w:t>
      </w:r>
    </w:p>
    <w:p w:rsidR="00000000" w:rsidRPr="00220DAC" w:rsidRDefault="00BD4694" w:rsidP="00220DAC">
      <w:pPr>
        <w:pStyle w:val="BodyText"/>
      </w:pPr>
      <w:r w:rsidRPr="00220DAC">
        <w:t>This section provides an overview on the use and development of assessment tools.</w:t>
      </w:r>
    </w:p>
    <w:p w:rsidR="00000000" w:rsidRPr="00220DAC" w:rsidRDefault="00BD4694" w:rsidP="00220DAC">
      <w:pPr>
        <w:pStyle w:val="BodyText"/>
      </w:pPr>
      <w:r w:rsidRPr="00220DAC">
        <w:rPr>
          <w:rStyle w:val="SpecialBold"/>
        </w:rPr>
        <w:t>Use of Assessment Tools</w:t>
      </w:r>
    </w:p>
    <w:p w:rsidR="00000000" w:rsidRPr="00220DAC" w:rsidRDefault="00BD4694" w:rsidP="00220DAC">
      <w:pPr>
        <w:pStyle w:val="BodyText"/>
      </w:pPr>
      <w:r w:rsidRPr="00220DAC">
        <w:t>Assessment tools provide a m</w:t>
      </w:r>
      <w:r w:rsidRPr="00220DAC">
        <w:t xml:space="preserve">eans of collecting the evidence that assessors use in making judgements about whether candidates have achieved competency. </w:t>
      </w:r>
    </w:p>
    <w:p w:rsidR="00000000" w:rsidRPr="00220DAC" w:rsidRDefault="00BD4694" w:rsidP="00220DAC">
      <w:pPr>
        <w:pStyle w:val="BodyText"/>
      </w:pPr>
      <w:r w:rsidRPr="00220DAC">
        <w:t>There is no set format or process for the design, production or development of assessment tools. Assessors may use prepared assessme</w:t>
      </w:r>
      <w:r w:rsidRPr="00220DAC">
        <w:t>nt tools, such as those specifically developed to support this Training Package, or they may develop their own.</w:t>
      </w:r>
    </w:p>
    <w:p w:rsidR="00000000" w:rsidRPr="00220DAC" w:rsidRDefault="00BD4694" w:rsidP="00220DAC">
      <w:pPr>
        <w:pStyle w:val="BodyText"/>
      </w:pPr>
      <w:r w:rsidRPr="00220DAC">
        <w:rPr>
          <w:rStyle w:val="SpecialBold"/>
        </w:rPr>
        <w:t>Using Prepared Assessment Tools</w:t>
      </w:r>
    </w:p>
    <w:p w:rsidR="00000000" w:rsidRPr="00220DAC" w:rsidRDefault="00BD4694" w:rsidP="00220DAC">
      <w:pPr>
        <w:pStyle w:val="BodyText"/>
      </w:pPr>
      <w:r w:rsidRPr="00220DAC">
        <w:lastRenderedPageBreak/>
        <w:t xml:space="preserve">If using prepared assessment tools, assessors should ensure these relate to the current version of the relevant </w:t>
      </w:r>
      <w:r w:rsidRPr="00220DAC">
        <w:t>unit of competency. The current unit of competency can be checked on the National Register &lt;</w:t>
      </w:r>
      <w:r w:rsidRPr="00220DAC">
        <w:rPr>
          <w:rStyle w:val="Emphasis"/>
        </w:rPr>
        <w:t>www.ntis.gov.au</w:t>
      </w:r>
      <w:r w:rsidRPr="00220DAC">
        <w:t xml:space="preserve">&gt;. </w:t>
      </w:r>
    </w:p>
    <w:p w:rsidR="00000000" w:rsidRPr="00220DAC" w:rsidRDefault="00BD4694" w:rsidP="00220DAC">
      <w:pPr>
        <w:pStyle w:val="BodyText"/>
      </w:pPr>
    </w:p>
    <w:p w:rsidR="00000000" w:rsidRPr="00220DAC" w:rsidRDefault="00BD4694" w:rsidP="00220DAC">
      <w:pPr>
        <w:pStyle w:val="BodyText"/>
      </w:pPr>
      <w:r w:rsidRPr="00220DAC">
        <w:rPr>
          <w:rStyle w:val="SpecialBold"/>
        </w:rPr>
        <w:t>Developing Assessment Tools</w:t>
      </w:r>
    </w:p>
    <w:p w:rsidR="00000000" w:rsidRPr="00220DAC" w:rsidRDefault="00BD4694" w:rsidP="00220DAC">
      <w:pPr>
        <w:pStyle w:val="BodyText"/>
      </w:pPr>
      <w:r w:rsidRPr="00220DAC">
        <w:t>When developing their own assessment tools, assessors must ensure that the tools:</w:t>
      </w:r>
    </w:p>
    <w:p w:rsidR="00000000" w:rsidRPr="00220DAC" w:rsidRDefault="00BD4694" w:rsidP="00220DAC">
      <w:pPr>
        <w:pStyle w:val="ListBullet"/>
      </w:pPr>
      <w:r w:rsidRPr="00220DAC">
        <w:t>are benchmarked against the relevant unit or units of competency;</w:t>
      </w:r>
    </w:p>
    <w:p w:rsidR="00000000" w:rsidRPr="00220DAC" w:rsidRDefault="00BD4694" w:rsidP="00220DAC">
      <w:pPr>
        <w:pStyle w:val="ListBullet"/>
      </w:pPr>
      <w:r w:rsidRPr="00220DAC">
        <w:t>are reviewed as part of the validation of assessment strategies required under the AQTF; and</w:t>
      </w:r>
    </w:p>
    <w:p w:rsidR="00000000" w:rsidRPr="00220DAC" w:rsidRDefault="00BD4694" w:rsidP="00220DAC">
      <w:pPr>
        <w:pStyle w:val="ListBullet"/>
      </w:pPr>
      <w:r w:rsidRPr="00220DAC">
        <w:t xml:space="preserve">meet the assessment requirements expressed in the AQTF 2010 </w:t>
      </w:r>
      <w:r w:rsidRPr="00220DAC">
        <w:rPr>
          <w:rStyle w:val="Emphasis"/>
        </w:rPr>
        <w:t>Essential Standards for Initial and C</w:t>
      </w:r>
      <w:r w:rsidRPr="00220DAC">
        <w:rPr>
          <w:rStyle w:val="Emphasis"/>
        </w:rPr>
        <w:t>ontinuing Registration</w:t>
      </w:r>
      <w:r w:rsidRPr="00220DAC">
        <w:t xml:space="preserve">. </w:t>
      </w:r>
    </w:p>
    <w:p w:rsidR="00000000" w:rsidRPr="00220DAC" w:rsidRDefault="00BD4694" w:rsidP="00220DAC">
      <w:pPr>
        <w:pStyle w:val="BodyText"/>
      </w:pPr>
      <w:r w:rsidRPr="00220DAC">
        <w:t>A key reference for assessors developing assessment tools is TAE10 Training and Education Training Package.</w:t>
      </w:r>
    </w:p>
    <w:p w:rsidR="00000000" w:rsidRPr="00220DAC" w:rsidRDefault="00BD4694" w:rsidP="00220DAC">
      <w:pPr>
        <w:pStyle w:val="BodyText"/>
      </w:pPr>
      <w:r w:rsidRPr="00220DAC">
        <w:rPr>
          <w:rStyle w:val="SpecialBold"/>
        </w:rPr>
        <w:t xml:space="preserve">Language, Literacy and Numeracy </w:t>
      </w:r>
    </w:p>
    <w:p w:rsidR="00000000" w:rsidRPr="00220DAC" w:rsidRDefault="00BD4694" w:rsidP="00220DAC">
      <w:pPr>
        <w:pStyle w:val="BodyText"/>
      </w:pPr>
      <w:r w:rsidRPr="00220DAC">
        <w:t>The design of assessment tools must reflect the language, literacy and numeracy competencies required for the performance of a task in the workplace and not exceed these expectations.</w:t>
      </w:r>
    </w:p>
    <w:p w:rsidR="00000000" w:rsidRPr="00220DAC" w:rsidRDefault="00BD4694" w:rsidP="00220DAC">
      <w:pPr>
        <w:pStyle w:val="BodyText"/>
      </w:pPr>
      <w:r w:rsidRPr="00220DAC">
        <w:rPr>
          <w:rStyle w:val="SpecialBold"/>
        </w:rPr>
        <w:t>Conducting Assessment</w:t>
      </w:r>
    </w:p>
    <w:p w:rsidR="00000000" w:rsidRPr="00220DAC" w:rsidRDefault="00BD4694" w:rsidP="00220DAC">
      <w:pPr>
        <w:pStyle w:val="BodyText"/>
      </w:pPr>
      <w:r w:rsidRPr="00220DAC">
        <w:t>This section details the mandatory assessment requ</w:t>
      </w:r>
      <w:r w:rsidRPr="00220DAC">
        <w:t>irements and provides information on equity in assessment including reasonable adjustment.</w:t>
      </w:r>
    </w:p>
    <w:p w:rsidR="00000000" w:rsidRPr="00220DAC" w:rsidRDefault="00BD4694" w:rsidP="00220DAC">
      <w:pPr>
        <w:pStyle w:val="BodyText"/>
      </w:pPr>
      <w:r w:rsidRPr="00220DAC">
        <w:rPr>
          <w:rStyle w:val="SpecialBold"/>
        </w:rPr>
        <w:t xml:space="preserve">Mandatory Assessment Requirements </w:t>
      </w:r>
    </w:p>
    <w:p w:rsidR="00000000" w:rsidRPr="00220DAC" w:rsidRDefault="00BD4694" w:rsidP="00220DAC">
      <w:pPr>
        <w:pStyle w:val="BodyText"/>
      </w:pPr>
      <w:r w:rsidRPr="00220DAC">
        <w:rPr>
          <w:rStyle w:val="SpecialBold"/>
        </w:rPr>
        <w:t>Assessments must meet the criteria set out in the AQTF 2010 Essential Standards for Initial and Continuing Registration.  For info</w:t>
      </w:r>
      <w:r w:rsidRPr="00220DAC">
        <w:rPr>
          <w:rStyle w:val="SpecialBold"/>
        </w:rPr>
        <w:t xml:space="preserve">rmation, the mandatory assessment requirements from Standard 1 from the AQTF 2010 Essential Standards for Initial and Continuing Registration are as follows: </w:t>
      </w:r>
    </w:p>
    <w:p w:rsidR="00000000" w:rsidRPr="00220DAC" w:rsidRDefault="00BD4694" w:rsidP="00220DAC">
      <w:pPr>
        <w:pStyle w:val="BodyText"/>
      </w:pPr>
    </w:p>
    <w:tbl>
      <w:tblPr>
        <w:tblW w:w="0" w:type="auto"/>
        <w:tblLayout w:type="fixed"/>
        <w:tblCellMar>
          <w:left w:w="62" w:type="dxa"/>
          <w:right w:w="62" w:type="dxa"/>
        </w:tblCellMar>
        <w:tblLook w:val="0000" w:firstRow="0" w:lastRow="0" w:firstColumn="0" w:lastColumn="0" w:noHBand="0" w:noVBand="0"/>
      </w:tblPr>
      <w:tblGrid>
        <w:gridCol w:w="8789"/>
      </w:tblGrid>
      <w:tr w:rsidR="00000000" w:rsidRPr="00220DAC" w:rsidTr="00220DAC">
        <w:trPr>
          <w:trHeight w:val="2116"/>
        </w:trPr>
        <w:tc>
          <w:tcPr>
            <w:tcW w:w="878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20DAC" w:rsidRDefault="00BD4694" w:rsidP="00220DAC">
            <w:pPr>
              <w:pStyle w:val="BodyText"/>
            </w:pPr>
          </w:p>
          <w:p w:rsidR="00000000" w:rsidRPr="00220DAC" w:rsidRDefault="00BD4694" w:rsidP="00220DAC">
            <w:pPr>
              <w:pStyle w:val="BodyText"/>
            </w:pPr>
            <w:r w:rsidRPr="00220DAC">
              <w:t>1.5</w:t>
            </w:r>
            <w:r w:rsidRPr="00220DAC">
              <w:tab/>
              <w:t>Assessment, including Recognition of Prior Learning (RPL):</w:t>
            </w:r>
          </w:p>
          <w:p w:rsidR="00000000" w:rsidRPr="00220DAC" w:rsidRDefault="00BD4694" w:rsidP="00220DAC">
            <w:pPr>
              <w:pStyle w:val="ListAlpha"/>
              <w:numPr>
                <w:ilvl w:val="0"/>
                <w:numId w:val="20"/>
              </w:numPr>
            </w:pPr>
            <w:r w:rsidRPr="00220DAC">
              <w:t>meets the r</w:t>
            </w:r>
            <w:r w:rsidRPr="00220DAC">
              <w:t>equirements of the relevant Training Package or accredited course</w:t>
            </w:r>
          </w:p>
          <w:p w:rsidR="00000000" w:rsidRPr="00220DAC" w:rsidRDefault="00BD4694" w:rsidP="00220DAC">
            <w:pPr>
              <w:pStyle w:val="ListAlpha"/>
            </w:pPr>
            <w:r w:rsidRPr="00220DAC">
              <w:t>is conducted in accordance with the principles of assessment and the rules of evidence</w:t>
            </w:r>
          </w:p>
          <w:p w:rsidR="00000000" w:rsidRPr="00220DAC" w:rsidRDefault="00BD4694" w:rsidP="00220DAC">
            <w:pPr>
              <w:pStyle w:val="ListAlpha"/>
            </w:pPr>
            <w:r w:rsidRPr="00220DAC">
              <w:t>meets workplace and, where relevant, regulatory requirements</w:t>
            </w:r>
          </w:p>
          <w:p w:rsidR="00000000" w:rsidRPr="00220DAC" w:rsidRDefault="00BD4694" w:rsidP="00220DAC">
            <w:pPr>
              <w:pStyle w:val="ListAlpha"/>
            </w:pPr>
            <w:r w:rsidRPr="00220DAC">
              <w:t>is systematically validated.</w:t>
            </w:r>
          </w:p>
          <w:p w:rsidR="00000000" w:rsidRPr="00220DAC" w:rsidRDefault="00BD4694" w:rsidP="00220DAC">
            <w:pPr>
              <w:pStyle w:val="BodyText"/>
            </w:pPr>
          </w:p>
        </w:tc>
      </w:tr>
    </w:tbl>
    <w:p w:rsidR="00000000" w:rsidRPr="00220DAC" w:rsidRDefault="00BD4694" w:rsidP="00220DAC">
      <w:pPr>
        <w:pStyle w:val="BodyText"/>
      </w:pPr>
    </w:p>
    <w:p w:rsidR="00000000" w:rsidRPr="00220DAC" w:rsidRDefault="00BD4694" w:rsidP="00220DAC">
      <w:pPr>
        <w:pStyle w:val="BodyText"/>
      </w:pPr>
    </w:p>
    <w:p w:rsidR="00000000" w:rsidRPr="00220DAC" w:rsidRDefault="00BD4694" w:rsidP="00220DAC">
      <w:pPr>
        <w:pStyle w:val="BodyText"/>
      </w:pPr>
      <w:r w:rsidRPr="00220DAC">
        <w:rPr>
          <w:rStyle w:val="SpecialBold"/>
        </w:rPr>
        <w:t>Assessment of Employability Skills</w:t>
      </w:r>
    </w:p>
    <w:p w:rsidR="00000000" w:rsidRPr="00220DAC" w:rsidRDefault="00BD4694" w:rsidP="00220DAC">
      <w:pPr>
        <w:pStyle w:val="BodyText"/>
      </w:pPr>
      <w:r w:rsidRPr="00220DAC">
        <w:t>Employability Skills are integral to workplace competency. As such, they must be considered in the design, customisation, delivery and assessment of vocational education and training programs in an integrated and holistic</w:t>
      </w:r>
      <w:r w:rsidRPr="00220DAC">
        <w:t xml:space="preserve"> way, as represented diagrammatically below. </w:t>
      </w:r>
    </w:p>
    <w:p w:rsidR="00000000" w:rsidRPr="00220DAC" w:rsidRDefault="00BD4694" w:rsidP="00220DAC">
      <w:pPr>
        <w:pStyle w:val="BodyText"/>
      </w:pPr>
    </w:p>
    <w:p w:rsidR="00000000" w:rsidRPr="00220DAC" w:rsidRDefault="00BD4694" w:rsidP="00220DAC">
      <w:pPr>
        <w:pStyle w:val="BodyText"/>
        <w:keepNext w:val="0"/>
      </w:pPr>
      <w:bookmarkStart w:id="22" w:name="O_330273"/>
      <w:r>
        <w:lastRenderedPageBreak/>
        <w:pict>
          <v:shape id="_x0000_i1054" type="#_x0000_t75" style="width:345pt;height:280.5pt">
            <v:imagedata r:id="rId19" o:title=""/>
          </v:shape>
        </w:pict>
      </w:r>
      <w:bookmarkEnd w:id="22"/>
    </w:p>
    <w:p w:rsidR="00000000" w:rsidRPr="00220DAC" w:rsidRDefault="00BD4694" w:rsidP="00220DAC">
      <w:pPr>
        <w:pStyle w:val="BodyText"/>
      </w:pPr>
    </w:p>
    <w:p w:rsidR="00000000" w:rsidRPr="00220DAC" w:rsidRDefault="00BD4694" w:rsidP="00220DAC">
      <w:pPr>
        <w:pStyle w:val="BodyText"/>
      </w:pPr>
      <w:r w:rsidRPr="00220DAC">
        <w:t>Employabilit</w:t>
      </w:r>
      <w:r w:rsidRPr="00220DAC">
        <w:t>y Skills are embedded within each unit of competency, and an Employability Skills Summary is available for each qualification. Training providers must use Employability Skills information in order to design valid and reliable training and assessment strate</w:t>
      </w:r>
      <w:r w:rsidRPr="00220DAC">
        <w:t xml:space="preserve">gies. This analysis could include: </w:t>
      </w:r>
    </w:p>
    <w:p w:rsidR="00000000" w:rsidRPr="00220DAC" w:rsidRDefault="00BD4694" w:rsidP="00220DAC">
      <w:pPr>
        <w:pStyle w:val="ListBullet3"/>
      </w:pPr>
      <w:r w:rsidRPr="00220DAC">
        <w:t>reviewing units of competency to locate relevant Employability Skills and determine how they are applied within the unit</w:t>
      </w:r>
    </w:p>
    <w:p w:rsidR="00000000" w:rsidRPr="00220DAC" w:rsidRDefault="00BD4694" w:rsidP="00220DAC">
      <w:pPr>
        <w:pStyle w:val="ListBullet3"/>
      </w:pPr>
      <w:r w:rsidRPr="00220DAC">
        <w:t>analysing the Employability Skills Summary for the qualification in which the unit or units are packaged to help clarify relevant industry and workplace contexts and the application of Employability Skills at that qualification outcome</w:t>
      </w:r>
    </w:p>
    <w:p w:rsidR="00000000" w:rsidRPr="00220DAC" w:rsidRDefault="00BD4694" w:rsidP="00220DAC">
      <w:pPr>
        <w:pStyle w:val="ListBullet3"/>
      </w:pPr>
      <w:r w:rsidRPr="00220DAC">
        <w:t>designing training a</w:t>
      </w:r>
      <w:r w:rsidRPr="00220DAC">
        <w:t>nd assessment to address Employability Skills requirements.</w:t>
      </w:r>
    </w:p>
    <w:p w:rsidR="00000000" w:rsidRPr="00220DAC" w:rsidRDefault="00BD4694" w:rsidP="00220DAC">
      <w:pPr>
        <w:pStyle w:val="BodyText"/>
      </w:pPr>
      <w:r w:rsidRPr="00220DAC">
        <w:t>The National Quality Council has endorsed a model for assessing and reporting Employability Skills, which contains further suggestions about good practice strategies in teaching, assessing, learni</w:t>
      </w:r>
      <w:r w:rsidRPr="00220DAC">
        <w:t>ng and reporting Employability Skills. The model is available from &lt;http://www.training.com.au/&gt;.</w:t>
      </w:r>
    </w:p>
    <w:p w:rsidR="00000000" w:rsidRPr="00220DAC" w:rsidRDefault="00BD4694" w:rsidP="00220DAC">
      <w:pPr>
        <w:pStyle w:val="BodyText"/>
      </w:pPr>
      <w:r w:rsidRPr="00220DAC">
        <w:t>The endorsed approach includes learners downloading qualification specific Employability Skills Summaries for Training Package qualifications from an online r</w:t>
      </w:r>
      <w:r w:rsidRPr="00220DAC">
        <w:t>epository at &lt;http://employabilityskills.training.com.au&gt;</w:t>
      </w:r>
    </w:p>
    <w:p w:rsidR="00000000" w:rsidRPr="00220DAC" w:rsidRDefault="00BD4694" w:rsidP="00220DAC">
      <w:pPr>
        <w:pStyle w:val="BodyText"/>
      </w:pPr>
      <w:r w:rsidRPr="00220DAC">
        <w:t>For more information on Employability Skills in ForestWorks Training Packages go to the ForestWorks website at www.forestworks.com.au</w:t>
      </w:r>
    </w:p>
    <w:p w:rsidR="00000000" w:rsidRPr="00220DAC" w:rsidRDefault="00BD4694" w:rsidP="00220DAC">
      <w:pPr>
        <w:pStyle w:val="BodyText"/>
      </w:pPr>
      <w:r w:rsidRPr="00220DAC">
        <w:t>Employability Skills are reported on each qualification using th</w:t>
      </w:r>
      <w:r w:rsidRPr="00220DAC">
        <w:t>e following statement on the qualification testamur: "A summary of the Employability Skills developed through this qualification can be downloaded from http://employabilityskills.training.com.au " </w:t>
      </w:r>
    </w:p>
    <w:p w:rsidR="00000000" w:rsidRPr="00220DAC" w:rsidRDefault="00BD4694" w:rsidP="00220DAC">
      <w:pPr>
        <w:pStyle w:val="BodyText"/>
      </w:pPr>
      <w:r w:rsidRPr="00220DAC">
        <w:rPr>
          <w:rStyle w:val="SpecialBold"/>
        </w:rPr>
        <w:t>Access and Equity</w:t>
      </w:r>
    </w:p>
    <w:p w:rsidR="00000000" w:rsidRPr="00220DAC" w:rsidRDefault="00BD4694" w:rsidP="00220DAC">
      <w:pPr>
        <w:pStyle w:val="BodyText"/>
      </w:pPr>
      <w:r w:rsidRPr="00220DAC">
        <w:t>An individual's access to the assessment</w:t>
      </w:r>
      <w:r w:rsidRPr="00220DAC">
        <w:t xml:space="preserve"> process should not be adversely affected by restrictions placed on the location or context of assessment beyond the requirements specified in this Training Package: training and assessment must be bias-free.</w:t>
      </w:r>
    </w:p>
    <w:p w:rsidR="00000000" w:rsidRPr="00220DAC" w:rsidRDefault="00BD4694" w:rsidP="00220DAC">
      <w:pPr>
        <w:pStyle w:val="BodyText"/>
      </w:pPr>
      <w:r w:rsidRPr="00220DAC">
        <w:t>Under the rules for their development, Training</w:t>
      </w:r>
      <w:r w:rsidRPr="00220DAC">
        <w:t xml:space="preserve"> Packages must reflect and cater for the increasing diversity of Australia’s VET clients and Australia’s current and future workforce. The flexibilities offered by Training Packages should enhance opportunities and potential outcomes for all people so that</w:t>
      </w:r>
      <w:r w:rsidRPr="00220DAC">
        <w:t xml:space="preserve"> we can all benefit from a wider national skills base and a shared contribution to Australia’s economic development and social and cultural life.</w:t>
      </w:r>
    </w:p>
    <w:p w:rsidR="00000000" w:rsidRPr="00220DAC" w:rsidRDefault="00BD4694" w:rsidP="00220DAC">
      <w:pPr>
        <w:pStyle w:val="BodyText"/>
      </w:pPr>
      <w:r w:rsidRPr="00220DAC">
        <w:rPr>
          <w:rStyle w:val="SpecialBold"/>
        </w:rPr>
        <w:t>Reasonable Adjustments</w:t>
      </w:r>
    </w:p>
    <w:p w:rsidR="00000000" w:rsidRPr="00220DAC" w:rsidRDefault="00BD4694" w:rsidP="00220DAC">
      <w:pPr>
        <w:pStyle w:val="BodyText"/>
      </w:pPr>
      <w:r w:rsidRPr="00220DAC">
        <w:t>It is important that education providers take meaningful, transparent and reasonable st</w:t>
      </w:r>
      <w:r w:rsidRPr="00220DAC">
        <w:t>eps to consult, consider and implement reasonable adjustments for students with disability.</w:t>
      </w:r>
    </w:p>
    <w:p w:rsidR="00000000" w:rsidRPr="00220DAC" w:rsidRDefault="00BD4694" w:rsidP="00220DAC">
      <w:pPr>
        <w:pStyle w:val="BodyText"/>
      </w:pPr>
      <w:r w:rsidRPr="00220DAC">
        <w:t xml:space="preserve">Under the Disability Standards for Education 2005, education providers must make reasonable adjustments for people with disability to the maximum extent that those </w:t>
      </w:r>
      <w:r w:rsidRPr="00220DAC">
        <w:t>adjustments do not cause that provider unjustifiable hardship. While ‘reasonable adjustment’ and ‘unjustifiable hardship’ are different concepts and involve different considerations, they both seek to strike a balance between the interests of education pro</w:t>
      </w:r>
      <w:r w:rsidRPr="00220DAC">
        <w:t xml:space="preserve">viders and the interests of students with and without disability. </w:t>
      </w:r>
    </w:p>
    <w:p w:rsidR="00000000" w:rsidRPr="00220DAC" w:rsidRDefault="00BD4694" w:rsidP="00220DAC">
      <w:pPr>
        <w:pStyle w:val="BodyText"/>
      </w:pPr>
      <w:r w:rsidRPr="00220DAC">
        <w:t>An adjustment is any measure or action that a student requires because of their disability, and which has the effect of assisting the student to access and participate in education and trai</w:t>
      </w:r>
      <w:r w:rsidRPr="00220DAC">
        <w:t>ning on the same basis as students without a disability. An adjustment is reasonable if it achieves this purpose while taking into account factors such as the nature of the student’s disability, the views of the student, the potential effect of the adjustm</w:t>
      </w:r>
      <w:r w:rsidRPr="00220DAC">
        <w:t xml:space="preserve">ent on the student and others who might be affected, and the costs and benefits of making the adjustment. </w:t>
      </w:r>
    </w:p>
    <w:p w:rsidR="00000000" w:rsidRPr="00220DAC" w:rsidRDefault="00BD4694" w:rsidP="00220DAC">
      <w:pPr>
        <w:pStyle w:val="BodyText"/>
      </w:pPr>
      <w:r w:rsidRPr="00220DAC">
        <w:lastRenderedPageBreak/>
        <w:t xml:space="preserve">An education provider is also entitled to maintain the academic integrity of a course or program and to consider the requirements or components that </w:t>
      </w:r>
      <w:r w:rsidRPr="00220DAC">
        <w:t>are inherent or essential to its nature when assessing whether an adjustment is reasonable. There may be more than one adjustment that is reasonable in a given set of circumstances; education providers are required to make adjustments that are reasonable a</w:t>
      </w:r>
      <w:r w:rsidRPr="00220DAC">
        <w:t>nd that do not cause them unjustifiable hardship.</w:t>
      </w:r>
    </w:p>
    <w:p w:rsidR="00000000" w:rsidRPr="00220DAC" w:rsidRDefault="00BD4694" w:rsidP="00220DAC">
      <w:pPr>
        <w:pStyle w:val="BodyText"/>
      </w:pPr>
      <w:r w:rsidRPr="00220DAC">
        <w:t xml:space="preserve">The Training Package Guidelines provides more information on reasonable </w:t>
      </w:r>
      <w:r w:rsidRPr="00220DAC">
        <w:rPr>
          <w:rStyle w:val="Emphasis"/>
        </w:rPr>
        <w:t>adjustment, including examples of adjustments. Go to http://www.deewr.gov.au/tpdh/Pages/home.aspx .</w:t>
      </w:r>
    </w:p>
    <w:p w:rsidR="00000000" w:rsidRPr="00220DAC" w:rsidRDefault="00BD4694" w:rsidP="00220DAC">
      <w:pPr>
        <w:pStyle w:val="BodyText"/>
      </w:pPr>
    </w:p>
    <w:p w:rsidR="00000000" w:rsidRPr="00220DAC" w:rsidRDefault="00BD4694" w:rsidP="00220DAC">
      <w:pPr>
        <w:pStyle w:val="BodyText"/>
      </w:pPr>
      <w:r w:rsidRPr="00220DAC">
        <w:rPr>
          <w:rStyle w:val="SpecialBold"/>
        </w:rPr>
        <w:t>Further Sources of Information</w:t>
      </w:r>
    </w:p>
    <w:p w:rsidR="00000000" w:rsidRPr="00220DAC" w:rsidRDefault="00BD4694" w:rsidP="00220DAC">
      <w:pPr>
        <w:pStyle w:val="BodyText"/>
      </w:pPr>
      <w:r w:rsidRPr="00220DAC">
        <w:t>Th</w:t>
      </w:r>
      <w:r w:rsidRPr="00220DAC">
        <w:t>e section provides a listing of useful contacts and resources to assist assessors in planning, designing, conducting and reviewing of assessments against this Training Package.</w:t>
      </w:r>
    </w:p>
    <w:p w:rsidR="00000000" w:rsidRPr="00220DAC" w:rsidRDefault="00BD4694" w:rsidP="00220DAC">
      <w:pPr>
        <w:pStyle w:val="BodyText"/>
      </w:pPr>
      <w:r w:rsidRPr="00220DAC">
        <w:rPr>
          <w:rStyle w:val="SpecialBold"/>
        </w:rPr>
        <w:t>Contacts</w:t>
      </w:r>
    </w:p>
    <w:tbl>
      <w:tblPr>
        <w:tblW w:w="0" w:type="auto"/>
        <w:tblLayout w:type="fixed"/>
        <w:tblCellMar>
          <w:left w:w="62" w:type="dxa"/>
          <w:right w:w="62" w:type="dxa"/>
        </w:tblCellMar>
        <w:tblLook w:val="0000" w:firstRow="0" w:lastRow="0" w:firstColumn="0" w:lastColumn="0" w:noHBand="0" w:noVBand="0"/>
      </w:tblPr>
      <w:tblGrid>
        <w:gridCol w:w="4513"/>
        <w:gridCol w:w="4487"/>
      </w:tblGrid>
      <w:tr w:rsidR="00000000" w:rsidTr="00220DAC">
        <w:tc>
          <w:tcPr>
            <w:tcW w:w="4513" w:type="dxa"/>
            <w:tcBorders>
              <w:top w:val="nil"/>
              <w:left w:val="nil"/>
              <w:bottom w:val="nil"/>
              <w:right w:val="nil"/>
            </w:tcBorders>
            <w:tcMar>
              <w:top w:w="0" w:type="dxa"/>
              <w:left w:w="62" w:type="dxa"/>
              <w:bottom w:w="0" w:type="dxa"/>
              <w:right w:w="62" w:type="dxa"/>
            </w:tcMar>
          </w:tcPr>
          <w:p w:rsidR="00000000" w:rsidRPr="00220DAC" w:rsidRDefault="00BD4694" w:rsidP="00220DAC">
            <w:pPr>
              <w:pStyle w:val="BodyText"/>
            </w:pPr>
            <w:r w:rsidRPr="00220DAC">
              <w:t xml:space="preserve">Industry Skills Council </w:t>
            </w:r>
          </w:p>
          <w:p w:rsidR="00000000" w:rsidRPr="00220DAC" w:rsidRDefault="00BD4694" w:rsidP="00220DAC">
            <w:pPr>
              <w:pStyle w:val="BodyText"/>
            </w:pPr>
            <w:r w:rsidRPr="00220DAC">
              <w:t>ForestWorks</w:t>
            </w:r>
            <w:r w:rsidRPr="00220DAC">
              <w:br/>
              <w:t>559a Queensberry Street</w:t>
            </w:r>
            <w:r w:rsidRPr="00220DAC">
              <w:br/>
            </w:r>
            <w:r w:rsidRPr="00220DAC">
              <w:t>North Melbourne, Victoria 3051</w:t>
            </w:r>
          </w:p>
          <w:p w:rsidR="00000000" w:rsidRPr="00220DAC" w:rsidRDefault="00BD4694" w:rsidP="00220DAC">
            <w:pPr>
              <w:pStyle w:val="BodyText"/>
            </w:pPr>
            <w:r w:rsidRPr="00220DAC">
              <w:t>Ph: +61 3 9321 3500</w:t>
            </w:r>
            <w:r w:rsidRPr="00220DAC">
              <w:br/>
              <w:t>Fax: +61 3 9326 7800</w:t>
            </w:r>
            <w:r w:rsidRPr="00220DAC">
              <w:br/>
              <w:t>Email: forestworks@forestworks.com.au</w:t>
            </w:r>
            <w:r w:rsidRPr="00220DAC">
              <w:br/>
              <w:t>Web:  www.forestworks.com.au</w:t>
            </w:r>
          </w:p>
          <w:p w:rsidR="00000000" w:rsidRDefault="00BD4694">
            <w:pPr>
              <w:pStyle w:val="BodyText"/>
              <w:keepNext w:val="0"/>
              <w:keepLines w:val="0"/>
              <w:contextualSpacing w:val="0"/>
              <w:rPr>
                <w:rFonts w:ascii="Tahoma" w:hAnsi="Tahoma"/>
                <w:color w:val="000000"/>
                <w:sz w:val="20"/>
                <w:lang w:val="en-NZ"/>
              </w:rPr>
            </w:pPr>
          </w:p>
        </w:tc>
        <w:tc>
          <w:tcPr>
            <w:tcW w:w="4487" w:type="dxa"/>
            <w:tcBorders>
              <w:top w:val="nil"/>
              <w:left w:val="nil"/>
              <w:bottom w:val="nil"/>
              <w:right w:val="nil"/>
            </w:tcBorders>
            <w:tcMar>
              <w:top w:w="0" w:type="dxa"/>
              <w:left w:w="62" w:type="dxa"/>
              <w:bottom w:w="0" w:type="dxa"/>
              <w:right w:w="62" w:type="dxa"/>
            </w:tcMar>
          </w:tcPr>
          <w:p w:rsidR="00000000" w:rsidRPr="00220DAC" w:rsidRDefault="00BD4694" w:rsidP="00220DAC">
            <w:pPr>
              <w:pStyle w:val="BodyText"/>
            </w:pPr>
            <w:r w:rsidRPr="00220DAC">
              <w:t xml:space="preserve">Technical and Vocational Education and Training (TVET) Australia Limited </w:t>
            </w:r>
            <w:r w:rsidRPr="00220DAC">
              <w:br/>
              <w:t>Level 21, 390 St Kilda Road, Melbourne VIC</w:t>
            </w:r>
            <w:r w:rsidRPr="00220DAC">
              <w:t xml:space="preserve"> 3150</w:t>
            </w:r>
            <w:r w:rsidRPr="00220DAC">
              <w:br/>
              <w:t>PO Box 12211, A’Beckett Street Post Office,</w:t>
            </w:r>
            <w:r w:rsidRPr="00220DAC">
              <w:br/>
              <w:t>Melbourne, Victoria, 8006</w:t>
            </w:r>
            <w:r w:rsidRPr="00220DAC">
              <w:br/>
              <w:t>Ph: +61 3 9832 8100</w:t>
            </w:r>
            <w:r w:rsidRPr="00220DAC">
              <w:br/>
              <w:t>Fax: +61 3 9832 8198</w:t>
            </w:r>
            <w:r w:rsidRPr="00220DAC">
              <w:br/>
              <w:t>Email: sales@tvetaustralia.com.au</w:t>
            </w:r>
            <w:r w:rsidRPr="00220DAC">
              <w:br/>
              <w:t>Web: www.tvetaustralia.com.au</w:t>
            </w:r>
          </w:p>
          <w:p w:rsidR="00000000" w:rsidRDefault="00BD4694" w:rsidP="00220DAC">
            <w:pPr>
              <w:pStyle w:val="BodyText"/>
              <w:rPr>
                <w:lang w:val="en-NZ"/>
              </w:rPr>
            </w:pPr>
          </w:p>
        </w:tc>
      </w:tr>
      <w:tr w:rsidR="00000000" w:rsidRPr="00220DAC" w:rsidTr="00220DAC">
        <w:tc>
          <w:tcPr>
            <w:tcW w:w="4513" w:type="dxa"/>
            <w:tcBorders>
              <w:top w:val="nil"/>
              <w:left w:val="nil"/>
              <w:bottom w:val="nil"/>
              <w:right w:val="nil"/>
            </w:tcBorders>
            <w:tcMar>
              <w:top w:w="0" w:type="dxa"/>
              <w:left w:w="62" w:type="dxa"/>
              <w:bottom w:w="0" w:type="dxa"/>
              <w:right w:w="62" w:type="dxa"/>
            </w:tcMar>
          </w:tcPr>
          <w:p w:rsidR="00000000" w:rsidRPr="00220DAC" w:rsidRDefault="00BD4694" w:rsidP="00220DAC">
            <w:pPr>
              <w:pStyle w:val="BodyText"/>
            </w:pPr>
            <w:r w:rsidRPr="00220DAC">
              <w:t>For information on the TAE10 Training and Education Training Package cont</w:t>
            </w:r>
            <w:r w:rsidRPr="00220DAC">
              <w:t>act:</w:t>
            </w:r>
          </w:p>
          <w:p w:rsidR="00000000" w:rsidRPr="00220DAC" w:rsidRDefault="00BD4694" w:rsidP="00220DAC">
            <w:pPr>
              <w:pStyle w:val="BodyText"/>
            </w:pPr>
            <w:r w:rsidRPr="00220DAC">
              <w:t>Innovation &amp; Business Skills Australia</w:t>
            </w:r>
            <w:r w:rsidRPr="00220DAC">
              <w:br/>
              <w:t>Level 11, 176 Wellington Parade</w:t>
            </w:r>
            <w:r w:rsidRPr="00220DAC">
              <w:br/>
              <w:t>East Melbourne, Victoria 3002</w:t>
            </w:r>
          </w:p>
          <w:p w:rsidR="00000000" w:rsidRDefault="00BD4694" w:rsidP="00220DAC">
            <w:pPr>
              <w:pStyle w:val="BodyText"/>
              <w:rPr>
                <w:lang w:val="en-NZ"/>
              </w:rPr>
            </w:pPr>
            <w:r w:rsidRPr="00220DAC">
              <w:t>Ph: (03) 9815 7000</w:t>
            </w:r>
            <w:r w:rsidRPr="00220DAC">
              <w:br/>
              <w:t>Fax: (03) 9815 7001</w:t>
            </w:r>
            <w:r w:rsidRPr="00220DAC">
              <w:br/>
              <w:t>Email: virtual@ibsa.org.au</w:t>
            </w:r>
            <w:r w:rsidRPr="00220DAC">
              <w:br/>
              <w:t>Web: www.ibsa.org.au</w:t>
            </w:r>
          </w:p>
        </w:tc>
        <w:tc>
          <w:tcPr>
            <w:tcW w:w="4487" w:type="dxa"/>
            <w:tcBorders>
              <w:top w:val="nil"/>
              <w:left w:val="nil"/>
              <w:bottom w:val="nil"/>
              <w:right w:val="nil"/>
            </w:tcBorders>
            <w:tcMar>
              <w:top w:w="0" w:type="dxa"/>
              <w:left w:w="62" w:type="dxa"/>
              <w:bottom w:w="0" w:type="dxa"/>
              <w:right w:w="62" w:type="dxa"/>
            </w:tcMar>
          </w:tcPr>
          <w:p w:rsidR="00000000" w:rsidRPr="00220DAC" w:rsidRDefault="00BD4694" w:rsidP="00220DAC">
            <w:pPr>
              <w:pStyle w:val="BodyText"/>
            </w:pPr>
          </w:p>
        </w:tc>
      </w:tr>
    </w:tbl>
    <w:p w:rsidR="00000000" w:rsidRPr="00220DAC" w:rsidRDefault="00BD4694" w:rsidP="00220DAC">
      <w:pPr>
        <w:pStyle w:val="Heading4"/>
      </w:pPr>
    </w:p>
    <w:p w:rsidR="00000000" w:rsidRPr="00220DAC" w:rsidRDefault="00BD4694" w:rsidP="00220DAC">
      <w:pPr>
        <w:pStyle w:val="Heading4"/>
      </w:pPr>
      <w:r w:rsidRPr="00220DAC">
        <w:t>General Resources</w:t>
      </w:r>
    </w:p>
    <w:p w:rsidR="00000000" w:rsidRPr="00220DAC" w:rsidRDefault="00BD4694" w:rsidP="00220DAC">
      <w:pPr>
        <w:pStyle w:val="BodyText"/>
      </w:pPr>
      <w:r w:rsidRPr="00220DAC">
        <w:t>AQF Implementation Handbook, Fourth Editio</w:t>
      </w:r>
      <w:r w:rsidRPr="00220DAC">
        <w:t xml:space="preserve">n 2007. Australian Qualifications Framework Advisory Board, 2002 &lt;www.aqf.edu.au&gt; </w:t>
      </w:r>
    </w:p>
    <w:p w:rsidR="00000000" w:rsidRPr="00220DAC" w:rsidRDefault="00BD4694" w:rsidP="00220DAC">
      <w:pPr>
        <w:pStyle w:val="BodyText"/>
      </w:pPr>
      <w:r w:rsidRPr="00220DAC">
        <w:rPr>
          <w:rStyle w:val="Emphasis"/>
        </w:rPr>
        <w:t xml:space="preserve">Australian Quality Training Framework (AQTF) </w:t>
      </w:r>
      <w:r w:rsidRPr="00220DAC">
        <w:t>and</w:t>
      </w:r>
      <w:r w:rsidRPr="00220DAC">
        <w:rPr>
          <w:rStyle w:val="Emphasis"/>
        </w:rPr>
        <w:t xml:space="preserve"> AQTF 2010 Users’ Guide to the Essential Standards for Registration – http://www.training.com.au/pages/menuitem5cbe14d51b49dd</w:t>
      </w:r>
      <w:r w:rsidRPr="00220DAC">
        <w:rPr>
          <w:rStyle w:val="Emphasis"/>
        </w:rPr>
        <w:t>34b225261017a62dbc.aspx</w:t>
      </w:r>
    </w:p>
    <w:p w:rsidR="00000000" w:rsidRPr="00220DAC" w:rsidRDefault="00BD4694" w:rsidP="00220DAC">
      <w:pPr>
        <w:pStyle w:val="BodyText"/>
      </w:pPr>
      <w:r w:rsidRPr="00220DAC">
        <w:t xml:space="preserve">For general information and resources go to http://www.training.com.au/ </w:t>
      </w:r>
    </w:p>
    <w:p w:rsidR="00000000" w:rsidRPr="00220DAC" w:rsidRDefault="00BD4694" w:rsidP="00220DAC">
      <w:pPr>
        <w:pStyle w:val="BodyText"/>
      </w:pPr>
      <w:r w:rsidRPr="00220DAC">
        <w:t>The National Register is an electronic database providing comprehensive information about RTOs, Training Packages and accredited courses -</w:t>
      </w:r>
      <w:r w:rsidRPr="00220DAC">
        <w:rPr>
          <w:rStyle w:val="Emphasis"/>
        </w:rPr>
        <w:t xml:space="preserve"> &lt;</w:t>
      </w:r>
      <w:r w:rsidRPr="00220DAC">
        <w:t>www.ntis.gov.au</w:t>
      </w:r>
      <w:r w:rsidRPr="00220DAC">
        <w:rPr>
          <w:rStyle w:val="Emphasis"/>
        </w:rPr>
        <w:t>&gt;</w:t>
      </w:r>
    </w:p>
    <w:p w:rsidR="00000000" w:rsidRPr="00220DAC" w:rsidRDefault="00BD4694" w:rsidP="00220DAC">
      <w:pPr>
        <w:pStyle w:val="BodyText"/>
      </w:pPr>
      <w:r w:rsidRPr="00220DAC">
        <w:lastRenderedPageBreak/>
        <w:t>Th</w:t>
      </w:r>
      <w:r w:rsidRPr="00220DAC">
        <w:t>e Training Package Development Handbook site provides National Quality Council policy for the development of Training Packages. The site also provides guidance material for the application of that policy, and other useful information and links.   http://ww</w:t>
      </w:r>
      <w:r w:rsidRPr="00220DAC">
        <w:t>w.deewr.gov.au/Skills/Overview/Policy/TPDH/Pages/main.aspx</w:t>
      </w:r>
    </w:p>
    <w:p w:rsidR="00000000" w:rsidRPr="00220DAC" w:rsidRDefault="00BD4694" w:rsidP="00220DAC">
      <w:pPr>
        <w:pStyle w:val="BodyText"/>
      </w:pPr>
    </w:p>
    <w:p w:rsidR="00000000" w:rsidRPr="00220DAC" w:rsidRDefault="00BD4694" w:rsidP="00220DAC">
      <w:pPr>
        <w:pStyle w:val="BodyText"/>
      </w:pPr>
      <w:r w:rsidRPr="00220DAC">
        <w:rPr>
          <w:rStyle w:val="SpecialBold"/>
        </w:rPr>
        <w:t>Assessment Resources</w:t>
      </w:r>
    </w:p>
    <w:p w:rsidR="00000000" w:rsidRPr="00220DAC" w:rsidRDefault="00BD4694" w:rsidP="00220DAC">
      <w:pPr>
        <w:pStyle w:val="BodyText"/>
      </w:pPr>
      <w:r w:rsidRPr="00220DAC">
        <w:t>Registered training organisations (RTOs) are at the forefront of vocational education and training (VET) in Australia.  They translate the needs of industry into relevant, qua</w:t>
      </w:r>
      <w:r w:rsidRPr="00220DAC">
        <w:t>lity, client-focussed training and assessment.</w:t>
      </w:r>
    </w:p>
    <w:p w:rsidR="00000000" w:rsidRPr="00220DAC" w:rsidRDefault="00BD4694" w:rsidP="00220DAC">
      <w:pPr>
        <w:pStyle w:val="BodyText"/>
      </w:pPr>
      <w:r w:rsidRPr="00220DAC">
        <w:t>RTOs should strive for innovation in VET teaching and learning practices and develop highly flexible approaches to assessment which take cognisance of specific needs of learners, in order to improve delivery and outcomes of training.</w:t>
      </w:r>
    </w:p>
    <w:p w:rsidR="00000000" w:rsidRPr="00220DAC" w:rsidRDefault="00BD4694" w:rsidP="00220DAC">
      <w:pPr>
        <w:pStyle w:val="BodyText"/>
      </w:pPr>
      <w:r w:rsidRPr="00220DAC">
        <w:t>Resources can be purch</w:t>
      </w:r>
      <w:r w:rsidRPr="00220DAC">
        <w:t>ased or accessed from:</w:t>
      </w:r>
    </w:p>
    <w:p w:rsidR="00000000" w:rsidRPr="00220DAC" w:rsidRDefault="00BD4694" w:rsidP="00220DAC">
      <w:pPr>
        <w:pStyle w:val="ListBullet2"/>
      </w:pPr>
      <w:r w:rsidRPr="00220DAC">
        <w:t xml:space="preserve">TVET Australia – provides an integrated service to enable users of the national training system to identify and acquire training materials, identify copyright requirements and enter licenses for use of that material consistent with </w:t>
      </w:r>
      <w:r w:rsidRPr="00220DAC">
        <w:t>the scope and direction of the NQC.</w:t>
      </w:r>
    </w:p>
    <w:p w:rsidR="00000000" w:rsidRPr="00220DAC" w:rsidRDefault="00BD4694" w:rsidP="00220DAC">
      <w:pPr>
        <w:pStyle w:val="ListContinue"/>
      </w:pPr>
      <w:r w:rsidRPr="00220DAC">
        <w:t>http://www.productservices.tvetaustralia.com.au/</w:t>
      </w:r>
    </w:p>
    <w:p w:rsidR="00000000" w:rsidRPr="00220DAC" w:rsidRDefault="00BD4694" w:rsidP="00220DAC">
      <w:pPr>
        <w:pStyle w:val="ListBullet2"/>
      </w:pPr>
      <w:r w:rsidRPr="00220DAC">
        <w:t>ForestWorks</w:t>
      </w:r>
    </w:p>
    <w:p w:rsidR="00BD4694" w:rsidRDefault="00BD4694" w:rsidP="00220DAC">
      <w:pPr>
        <w:pStyle w:val="ListContinue"/>
      </w:pPr>
      <w:r w:rsidRPr="00220DAC">
        <w:t>559a Queensberry Street</w:t>
      </w:r>
      <w:r w:rsidRPr="00220DAC">
        <w:br/>
        <w:t>North Melbourne, Victoria 3051</w:t>
      </w:r>
      <w:r w:rsidRPr="00220DAC">
        <w:br/>
        <w:t>Ph: +61 3 9321 3500</w:t>
      </w:r>
      <w:r w:rsidRPr="00220DAC">
        <w:br/>
        <w:t>Fax: +61 3 9326 7800</w:t>
      </w:r>
      <w:r w:rsidRPr="00220DAC">
        <w:br/>
        <w:t>Email: forestworks@forestworks.com.au</w:t>
      </w:r>
      <w:r w:rsidRPr="00220DAC">
        <w:br/>
        <w:t>Web:  www.forestworks.</w:t>
      </w:r>
      <w:r w:rsidRPr="00220DAC">
        <w:t>com.au</w:t>
      </w:r>
    </w:p>
    <w:p w:rsidR="00BD4694" w:rsidRDefault="00BD4694" w:rsidP="00220DAC">
      <w:pPr>
        <w:pStyle w:val="ListContinue"/>
      </w:pPr>
    </w:p>
    <w:p w:rsidR="00000000" w:rsidRPr="00220DAC" w:rsidRDefault="00BD4694" w:rsidP="00220DAC">
      <w:pPr>
        <w:pStyle w:val="SuperHeading"/>
      </w:pPr>
      <w:bookmarkStart w:id="23" w:name="O_515220"/>
      <w:bookmarkStart w:id="24" w:name="_Toc394059862"/>
      <w:bookmarkEnd w:id="23"/>
      <w:r w:rsidRPr="00220DAC">
        <w:t>Competency Standards</w:t>
      </w:r>
      <w:bookmarkEnd w:id="24"/>
    </w:p>
    <w:p w:rsidR="00000000" w:rsidRPr="00220DAC" w:rsidRDefault="00BD4694" w:rsidP="00220DAC">
      <w:pPr>
        <w:pStyle w:val="Heading1"/>
      </w:pPr>
      <w:r w:rsidRPr="00220DAC">
        <w:t>Competency Standards</w:t>
      </w:r>
    </w:p>
    <w:p w:rsidR="00000000" w:rsidRPr="00220DAC" w:rsidRDefault="00BD4694" w:rsidP="00220DAC">
      <w:pPr>
        <w:pStyle w:val="BodyText"/>
      </w:pPr>
    </w:p>
    <w:p w:rsidR="00000000" w:rsidRPr="00220DAC" w:rsidRDefault="00BD4694" w:rsidP="00220DAC">
      <w:pPr>
        <w:pStyle w:val="Heading3"/>
      </w:pPr>
      <w:r w:rsidRPr="00220DAC">
        <w:t>What is competency?</w:t>
      </w:r>
    </w:p>
    <w:p w:rsidR="00000000" w:rsidRPr="00220DAC" w:rsidRDefault="00BD4694" w:rsidP="00220DAC">
      <w:pPr>
        <w:pStyle w:val="BodyText"/>
      </w:pPr>
      <w:r w:rsidRPr="00220DAC">
        <w:t xml:space="preserve">The broad concept of industry competency concerns the ability to perform particular tasks and duties to the standard of performance expected in the </w:t>
      </w:r>
      <w:r w:rsidRPr="00220DAC">
        <w:t xml:space="preserve">workplace. Competency requires the application of specified skills, knowledge and attitudes relevant to effective participation in an industry, industry sector or enterprise. </w:t>
      </w:r>
    </w:p>
    <w:p w:rsidR="00000000" w:rsidRPr="00220DAC" w:rsidRDefault="00BD4694" w:rsidP="00220DAC">
      <w:pPr>
        <w:pStyle w:val="BodyText"/>
      </w:pPr>
    </w:p>
    <w:p w:rsidR="00000000" w:rsidRPr="00220DAC" w:rsidRDefault="00BD4694" w:rsidP="00220DAC">
      <w:pPr>
        <w:pStyle w:val="BodyText"/>
      </w:pPr>
      <w:r w:rsidRPr="00220DAC">
        <w:t xml:space="preserve">Competency covers all aspects of workplace performance and involves performing </w:t>
      </w:r>
      <w:r w:rsidRPr="00220DAC">
        <w:t>individual tasks; managing a range of different tasks; responding to contingencies or breakdowns; and, dealing with the responsibilities of the workplace, including working with others. Workplace competency requires the ability to apply relevant skills, kn</w:t>
      </w:r>
      <w:r w:rsidRPr="00220DAC">
        <w:t>owledge and attitudes consistently over time and in the required workplace situations and environments. In line with this concept of competency Training Packages focus on what is expected of a competent individual in the workplace as an outcome of learning</w:t>
      </w:r>
      <w:r w:rsidRPr="00220DAC">
        <w:t xml:space="preserve">, rather than focussing on the learning process itself. </w:t>
      </w:r>
    </w:p>
    <w:p w:rsidR="00000000" w:rsidRPr="00220DAC" w:rsidRDefault="00BD4694" w:rsidP="00220DAC">
      <w:pPr>
        <w:pStyle w:val="BodyText"/>
      </w:pPr>
    </w:p>
    <w:p w:rsidR="00000000" w:rsidRPr="00220DAC" w:rsidRDefault="00BD4694" w:rsidP="00220DAC">
      <w:pPr>
        <w:pStyle w:val="BodyText"/>
      </w:pPr>
      <w:r w:rsidRPr="00220DAC">
        <w:lastRenderedPageBreak/>
        <w:t>Competency standards in Training Packages are determined by industry to meet identified industry skill needs. Competency standards are made up of a number of units of competency each of which descri</w:t>
      </w:r>
      <w:r w:rsidRPr="00220DAC">
        <w:t>bes a key function or role in a particular job function or occupation. Each unit of competency within a Training Package is linked to one or more AQF qualifications.</w:t>
      </w:r>
    </w:p>
    <w:p w:rsidR="00000000" w:rsidRPr="00220DAC" w:rsidRDefault="00BD4694" w:rsidP="00220DAC">
      <w:pPr>
        <w:pStyle w:val="BodyText"/>
      </w:pPr>
    </w:p>
    <w:p w:rsidR="00000000" w:rsidRPr="00220DAC" w:rsidRDefault="00BD4694" w:rsidP="00220DAC">
      <w:pPr>
        <w:pStyle w:val="Heading3"/>
      </w:pPr>
      <w:r w:rsidRPr="00220DAC">
        <w:t>Contextualisation of Units of Competency by RTOs</w:t>
      </w:r>
    </w:p>
    <w:p w:rsidR="00000000" w:rsidRPr="00220DAC" w:rsidRDefault="00BD4694" w:rsidP="00220DAC">
      <w:pPr>
        <w:pStyle w:val="BodyText"/>
      </w:pPr>
      <w:r w:rsidRPr="00220DAC">
        <w:t>Registered Training Organisations (RTOs)</w:t>
      </w:r>
      <w:r w:rsidRPr="00220DAC">
        <w:t xml:space="preserve"> may contextualise units of competency in this endorsed Training Package to reflect required local outcomes. Contextualisation could involve additions or amendments to the unit of competency to suit particular delivery methods, learner profiles, specific e</w:t>
      </w:r>
      <w:r w:rsidRPr="00220DAC">
        <w:t xml:space="preserve">nterprise equipment requirements, or to otherwise meet local needs. However, the integrity of the overall intended outcome of the unit of competency must be maintained. </w:t>
      </w:r>
    </w:p>
    <w:p w:rsidR="00000000" w:rsidRPr="00220DAC" w:rsidRDefault="00BD4694" w:rsidP="00220DAC">
      <w:pPr>
        <w:pStyle w:val="BodyText"/>
      </w:pPr>
    </w:p>
    <w:p w:rsidR="00000000" w:rsidRPr="00220DAC" w:rsidRDefault="00BD4694" w:rsidP="00220DAC">
      <w:pPr>
        <w:pStyle w:val="BodyText"/>
      </w:pPr>
      <w:r w:rsidRPr="00220DAC">
        <w:t xml:space="preserve">Any contextualisation of units of competency in this Training Package must be within </w:t>
      </w:r>
      <w:r w:rsidRPr="00220DAC">
        <w:t>the bounds of the following advice:</w:t>
      </w:r>
    </w:p>
    <w:p w:rsidR="00000000" w:rsidRPr="00220DAC" w:rsidRDefault="00BD4694" w:rsidP="00220DAC">
      <w:pPr>
        <w:pStyle w:val="ListBullet"/>
      </w:pPr>
      <w:r w:rsidRPr="00220DAC">
        <w:t xml:space="preserve">RTOs must not remove or add to the number and content of elements and performance criteria. </w:t>
      </w:r>
    </w:p>
    <w:p w:rsidR="00000000" w:rsidRPr="00220DAC" w:rsidRDefault="00BD4694" w:rsidP="00220DAC">
      <w:pPr>
        <w:pStyle w:val="ListBullet"/>
      </w:pPr>
      <w:r w:rsidRPr="00220DAC">
        <w:t>RTOs can include specific industry terminology in the range statement.</w:t>
      </w:r>
    </w:p>
    <w:p w:rsidR="00000000" w:rsidRPr="00220DAC" w:rsidRDefault="00BD4694" w:rsidP="00220DAC">
      <w:pPr>
        <w:pStyle w:val="ListBullet"/>
      </w:pPr>
      <w:r w:rsidRPr="00220DAC">
        <w:t>Any amendments and additions to the range statement mad</w:t>
      </w:r>
      <w:r w:rsidRPr="00220DAC">
        <w:t>e by RTOs must not diminish the breadth of application of the competency, or reduce its portability.</w:t>
      </w:r>
    </w:p>
    <w:p w:rsidR="00000000" w:rsidRPr="00220DAC" w:rsidRDefault="00BD4694" w:rsidP="00220DAC">
      <w:pPr>
        <w:pStyle w:val="ListBullet"/>
      </w:pPr>
      <w:r w:rsidRPr="00220DAC">
        <w:t>RTOs may add detail to the evidence guide in areas such as the critical aspects of evidence or required resources and infrastructure—but only where these e</w:t>
      </w:r>
      <w:r w:rsidRPr="00220DAC">
        <w:t xml:space="preserve">xpand the breadth of the competency and do not limit its use. </w:t>
      </w:r>
    </w:p>
    <w:p w:rsidR="00000000" w:rsidRPr="00220DAC" w:rsidRDefault="00BD4694" w:rsidP="00220DAC">
      <w:pPr>
        <w:pStyle w:val="BodyText"/>
      </w:pPr>
    </w:p>
    <w:p w:rsidR="00000000" w:rsidRPr="00220DAC" w:rsidRDefault="00BD4694" w:rsidP="00220DAC">
      <w:pPr>
        <w:pStyle w:val="Heading3"/>
      </w:pPr>
      <w:r w:rsidRPr="00220DAC">
        <w:t xml:space="preserve">Components of Units of Competency </w:t>
      </w:r>
    </w:p>
    <w:p w:rsidR="00000000" w:rsidRPr="00220DAC" w:rsidRDefault="00BD4694" w:rsidP="00220DAC">
      <w:pPr>
        <w:pStyle w:val="BodyText"/>
      </w:pPr>
      <w:r w:rsidRPr="00220DAC">
        <w:t xml:space="preserve">The components of units of competency are summarised below, in the order in which they appear in each unit of competency. </w:t>
      </w:r>
    </w:p>
    <w:p w:rsidR="00000000" w:rsidRPr="00220DAC" w:rsidRDefault="00BD4694" w:rsidP="00220DAC">
      <w:pPr>
        <w:pStyle w:val="BodyText"/>
      </w:pPr>
    </w:p>
    <w:p w:rsidR="00000000" w:rsidRPr="00220DAC" w:rsidRDefault="00BD4694" w:rsidP="00220DAC">
      <w:pPr>
        <w:pStyle w:val="Heading3"/>
      </w:pPr>
      <w:r w:rsidRPr="00220DAC">
        <w:t>Unit Title</w:t>
      </w:r>
    </w:p>
    <w:p w:rsidR="00000000" w:rsidRPr="00220DAC" w:rsidRDefault="00BD4694" w:rsidP="00220DAC">
      <w:pPr>
        <w:pStyle w:val="BodyText"/>
      </w:pPr>
      <w:r w:rsidRPr="00220DAC">
        <w:t>The unit title is a su</w:t>
      </w:r>
      <w:r w:rsidRPr="00220DAC">
        <w:t xml:space="preserve">ccinct statement of the outcome of the unit of competency. Each unit of competency title is unique, both within and across Training Packages. </w:t>
      </w:r>
    </w:p>
    <w:p w:rsidR="00000000" w:rsidRPr="00220DAC" w:rsidRDefault="00BD4694" w:rsidP="00220DAC">
      <w:pPr>
        <w:pStyle w:val="BodyText"/>
      </w:pPr>
    </w:p>
    <w:p w:rsidR="00000000" w:rsidRPr="00220DAC" w:rsidRDefault="00BD4694" w:rsidP="00220DAC">
      <w:pPr>
        <w:pStyle w:val="Heading3"/>
      </w:pPr>
      <w:r w:rsidRPr="00220DAC">
        <w:t>Unit Descriptor</w:t>
      </w:r>
    </w:p>
    <w:p w:rsidR="00000000" w:rsidRPr="00220DAC" w:rsidRDefault="00BD4694" w:rsidP="00220DAC">
      <w:pPr>
        <w:pStyle w:val="BodyText"/>
      </w:pPr>
      <w:r w:rsidRPr="00220DAC">
        <w:t>The unit descriptor broadly communicates the content of the unit of competency and the skill area it addresses. Where units of competency have been contextualised from units of competency from other endorsed Training Packages, summary information is provid</w:t>
      </w:r>
      <w:r w:rsidRPr="00220DAC">
        <w:t>ed. There may also be a brief second paragraph that describes its relationship with other units of competency, and any licensing requirements.</w:t>
      </w:r>
    </w:p>
    <w:p w:rsidR="00000000" w:rsidRPr="00220DAC" w:rsidRDefault="00BD4694" w:rsidP="00220DAC">
      <w:pPr>
        <w:pStyle w:val="BodyText"/>
      </w:pPr>
    </w:p>
    <w:p w:rsidR="00000000" w:rsidRPr="00220DAC" w:rsidRDefault="00BD4694" w:rsidP="00220DAC">
      <w:pPr>
        <w:pStyle w:val="Heading3"/>
      </w:pPr>
      <w:r w:rsidRPr="00220DAC">
        <w:t>Employability Skills</w:t>
      </w:r>
    </w:p>
    <w:p w:rsidR="00000000" w:rsidRPr="00220DAC" w:rsidRDefault="00BD4694" w:rsidP="00220DAC">
      <w:pPr>
        <w:pStyle w:val="BodyText"/>
      </w:pPr>
      <w:r w:rsidRPr="00220DAC">
        <w:t>This sub-section contains a statement that the unit contains Employability skills.</w:t>
      </w:r>
    </w:p>
    <w:p w:rsidR="00000000" w:rsidRPr="00220DAC" w:rsidRDefault="00BD4694" w:rsidP="00220DAC">
      <w:pPr>
        <w:pStyle w:val="BodyText"/>
      </w:pPr>
    </w:p>
    <w:p w:rsidR="00000000" w:rsidRPr="00220DAC" w:rsidRDefault="00BD4694" w:rsidP="00220DAC">
      <w:pPr>
        <w:pStyle w:val="Heading3"/>
      </w:pPr>
      <w:r w:rsidRPr="00220DAC">
        <w:lastRenderedPageBreak/>
        <w:t>Pre-req</w:t>
      </w:r>
      <w:r w:rsidRPr="00220DAC">
        <w:t>uisite Units (optional)</w:t>
      </w:r>
    </w:p>
    <w:p w:rsidR="00000000" w:rsidRPr="00220DAC" w:rsidRDefault="00BD4694" w:rsidP="00220DAC">
      <w:pPr>
        <w:pStyle w:val="BodyText"/>
      </w:pPr>
      <w:r w:rsidRPr="00220DAC">
        <w:t>If there are any units of competency that must be completed before the unit, these will be listed.</w:t>
      </w:r>
    </w:p>
    <w:p w:rsidR="00000000" w:rsidRPr="00220DAC" w:rsidRDefault="00BD4694" w:rsidP="00220DAC">
      <w:pPr>
        <w:pStyle w:val="BodyText"/>
      </w:pPr>
    </w:p>
    <w:p w:rsidR="00000000" w:rsidRPr="00220DAC" w:rsidRDefault="00BD4694" w:rsidP="00220DAC">
      <w:pPr>
        <w:pStyle w:val="Heading3"/>
      </w:pPr>
      <w:r w:rsidRPr="00220DAC">
        <w:t>Application of the Unit</w:t>
      </w:r>
    </w:p>
    <w:p w:rsidR="00000000" w:rsidRPr="00220DAC" w:rsidRDefault="00BD4694" w:rsidP="00220DAC">
      <w:pPr>
        <w:pStyle w:val="BodyText"/>
      </w:pPr>
      <w:r w:rsidRPr="00220DAC">
        <w:t>This sub-section fleshes out the unit of competency’s scope, purpose and operation in different contexts, fo</w:t>
      </w:r>
      <w:r w:rsidRPr="00220DAC">
        <w:t xml:space="preserve">r example, by showing how it applies in the workplace. </w:t>
      </w:r>
    </w:p>
    <w:p w:rsidR="00000000" w:rsidRPr="00220DAC" w:rsidRDefault="00BD4694" w:rsidP="00220DAC">
      <w:pPr>
        <w:pStyle w:val="BodyText"/>
      </w:pPr>
    </w:p>
    <w:p w:rsidR="00000000" w:rsidRPr="00220DAC" w:rsidRDefault="00BD4694" w:rsidP="00220DAC">
      <w:pPr>
        <w:pStyle w:val="Heading3"/>
      </w:pPr>
      <w:r w:rsidRPr="00220DAC">
        <w:t>Competency Field (Optional)</w:t>
      </w:r>
    </w:p>
    <w:p w:rsidR="00000000" w:rsidRPr="00220DAC" w:rsidRDefault="00BD4694" w:rsidP="00220DAC">
      <w:pPr>
        <w:pStyle w:val="BodyText"/>
      </w:pPr>
      <w:r w:rsidRPr="00220DAC">
        <w:t>The competency field either reflects the way the units of competency are categorised in the Training Package or denotes the industry sector, specialisation or function. It</w:t>
      </w:r>
      <w:r w:rsidRPr="00220DAC">
        <w:t xml:space="preserve"> is an optional component of the unit of competency.</w:t>
      </w:r>
    </w:p>
    <w:p w:rsidR="00000000" w:rsidRPr="00220DAC" w:rsidRDefault="00BD4694" w:rsidP="00220DAC">
      <w:pPr>
        <w:pStyle w:val="BodyText"/>
      </w:pPr>
    </w:p>
    <w:p w:rsidR="00000000" w:rsidRPr="00220DAC" w:rsidRDefault="00BD4694" w:rsidP="00220DAC">
      <w:pPr>
        <w:pStyle w:val="Heading3"/>
      </w:pPr>
      <w:r w:rsidRPr="00220DAC">
        <w:t>Sector (optional)</w:t>
      </w:r>
    </w:p>
    <w:p w:rsidR="00000000" w:rsidRPr="00220DAC" w:rsidRDefault="00BD4694" w:rsidP="00220DAC">
      <w:pPr>
        <w:pStyle w:val="BodyText"/>
      </w:pPr>
      <w:r w:rsidRPr="00220DAC">
        <w:t>The industry sector is a further categorisation of the competency field and identifies the next classification, for example an elective or supervision field.</w:t>
      </w:r>
    </w:p>
    <w:p w:rsidR="00000000" w:rsidRPr="00220DAC" w:rsidRDefault="00BD4694" w:rsidP="00220DAC">
      <w:pPr>
        <w:pStyle w:val="BodyText"/>
      </w:pPr>
    </w:p>
    <w:p w:rsidR="00000000" w:rsidRPr="00220DAC" w:rsidRDefault="00BD4694" w:rsidP="00220DAC">
      <w:pPr>
        <w:pStyle w:val="Heading3"/>
      </w:pPr>
      <w:r w:rsidRPr="00220DAC">
        <w:t>Elements of Competency</w:t>
      </w:r>
    </w:p>
    <w:p w:rsidR="00000000" w:rsidRPr="00220DAC" w:rsidRDefault="00BD4694" w:rsidP="00220DAC">
      <w:pPr>
        <w:pStyle w:val="BodyText"/>
      </w:pPr>
      <w:r w:rsidRPr="00220DAC">
        <w:t>Th</w:t>
      </w:r>
      <w:r w:rsidRPr="00220DAC">
        <w:t>e elements of competency are the basic building blocks of the unit of competency. They describe in terms of outcomes the significant functions and tasks that make up the competency.</w:t>
      </w:r>
    </w:p>
    <w:p w:rsidR="00000000" w:rsidRPr="00220DAC" w:rsidRDefault="00BD4694" w:rsidP="00220DAC">
      <w:pPr>
        <w:pStyle w:val="BodyText"/>
      </w:pPr>
    </w:p>
    <w:p w:rsidR="00000000" w:rsidRPr="00220DAC" w:rsidRDefault="00BD4694" w:rsidP="00220DAC">
      <w:pPr>
        <w:pStyle w:val="Heading3"/>
      </w:pPr>
      <w:r w:rsidRPr="00220DAC">
        <w:t>Performance Criteria</w:t>
      </w:r>
    </w:p>
    <w:p w:rsidR="00000000" w:rsidRPr="00220DAC" w:rsidRDefault="00BD4694" w:rsidP="00220DAC">
      <w:pPr>
        <w:pStyle w:val="BodyText"/>
      </w:pPr>
      <w:r w:rsidRPr="00220DAC">
        <w:t>The performance criteria specify the required perfor</w:t>
      </w:r>
      <w:r w:rsidRPr="00220DAC">
        <w:t>mance in relevant tasks, roles, skills and in the applied knowledge that enables competent performance. They are usually written in passive voice. Critical terms or phrases may be written in bold italics and then defined in range statement, in the order of</w:t>
      </w:r>
      <w:r w:rsidRPr="00220DAC">
        <w:t xml:space="preserve"> their appearance in the performance criteria.</w:t>
      </w:r>
    </w:p>
    <w:p w:rsidR="00000000" w:rsidRPr="00220DAC" w:rsidRDefault="00BD4694" w:rsidP="00220DAC">
      <w:pPr>
        <w:pStyle w:val="BodyText"/>
      </w:pPr>
    </w:p>
    <w:p w:rsidR="00000000" w:rsidRPr="00220DAC" w:rsidRDefault="00BD4694" w:rsidP="00220DAC">
      <w:pPr>
        <w:pStyle w:val="Heading3"/>
      </w:pPr>
      <w:r w:rsidRPr="00220DAC">
        <w:t>Required Skills and Knowledge</w:t>
      </w:r>
    </w:p>
    <w:p w:rsidR="00000000" w:rsidRPr="00220DAC" w:rsidRDefault="00BD4694" w:rsidP="00220DAC">
      <w:pPr>
        <w:pStyle w:val="BodyText"/>
      </w:pPr>
      <w:r w:rsidRPr="00220DAC">
        <w:t xml:space="preserve">The essential skills and knowledge are either identified separately or combined. </w:t>
      </w:r>
      <w:r w:rsidRPr="00220DAC">
        <w:rPr>
          <w:rStyle w:val="Emphasis"/>
        </w:rPr>
        <w:t>Knowledge</w:t>
      </w:r>
      <w:r w:rsidRPr="00220DAC">
        <w:t xml:space="preserve"> identifies what a person needs to know to perform the work in an informed and effective</w:t>
      </w:r>
      <w:r w:rsidRPr="00220DAC">
        <w:t xml:space="preserve"> manner. </w:t>
      </w:r>
      <w:r w:rsidRPr="00220DAC">
        <w:rPr>
          <w:rStyle w:val="Emphasis"/>
        </w:rPr>
        <w:t>Skills</w:t>
      </w:r>
      <w:r w:rsidRPr="00220DAC">
        <w:t xml:space="preserve"> describe the application of knowledge to situations where understanding is converted into a workplace outcome. </w:t>
      </w:r>
    </w:p>
    <w:p w:rsidR="00000000" w:rsidRPr="00220DAC" w:rsidRDefault="00BD4694" w:rsidP="00220DAC">
      <w:pPr>
        <w:pStyle w:val="BodyText"/>
      </w:pPr>
    </w:p>
    <w:p w:rsidR="00000000" w:rsidRPr="00220DAC" w:rsidRDefault="00BD4694" w:rsidP="00220DAC">
      <w:pPr>
        <w:pStyle w:val="Heading3"/>
      </w:pPr>
      <w:r w:rsidRPr="00220DAC">
        <w:t>Range Statement</w:t>
      </w:r>
    </w:p>
    <w:p w:rsidR="00000000" w:rsidRPr="00220DAC" w:rsidRDefault="00BD4694" w:rsidP="00220DAC">
      <w:pPr>
        <w:pStyle w:val="BodyText"/>
      </w:pPr>
      <w:r w:rsidRPr="00220DAC">
        <w:t>The range statement provides a context for the unit of competency, describing essential operating conditions that may be present with training and assessment, depending on the work situation, needs of the candidate, accessibility of the item, and local ind</w:t>
      </w:r>
      <w:r w:rsidRPr="00220DAC">
        <w:t>ustry and regional contexts. As applicable, the meanings of key terms used in the performance criteria will also be explained in the range statement.</w:t>
      </w:r>
    </w:p>
    <w:p w:rsidR="00000000" w:rsidRPr="00220DAC" w:rsidRDefault="00BD4694" w:rsidP="00220DAC">
      <w:pPr>
        <w:pStyle w:val="BodyText"/>
      </w:pPr>
    </w:p>
    <w:p w:rsidR="00000000" w:rsidRPr="00220DAC" w:rsidRDefault="00BD4694" w:rsidP="00220DAC">
      <w:pPr>
        <w:pStyle w:val="Heading3"/>
      </w:pPr>
      <w:r w:rsidRPr="00220DAC">
        <w:t>Evidence Guide</w:t>
      </w:r>
    </w:p>
    <w:p w:rsidR="00000000" w:rsidRPr="00220DAC" w:rsidRDefault="00BD4694" w:rsidP="00220DAC">
      <w:pPr>
        <w:pStyle w:val="BodyText"/>
      </w:pPr>
      <w:r w:rsidRPr="00220DAC">
        <w:t xml:space="preserve">The evidence guide is critical in assessment as it provides information to the Registered </w:t>
      </w:r>
      <w:r w:rsidRPr="00220DAC">
        <w:t>Training Organisation (RTO) and assessor about how the described competency may be demonstrated. The evidence guide does this by providing a range of evidence for the assessor to make determinations, and by providing the assessment context. The evidence gu</w:t>
      </w:r>
      <w:r w:rsidRPr="00220DAC">
        <w:t>ide describes:</w:t>
      </w:r>
    </w:p>
    <w:p w:rsidR="00000000" w:rsidRPr="00220DAC" w:rsidRDefault="00BD4694" w:rsidP="00220DAC">
      <w:pPr>
        <w:pStyle w:val="ListBullet"/>
      </w:pPr>
      <w:r w:rsidRPr="00220DAC">
        <w:t>conditions under which competency must be assessed including variables such as the assessment environment or necessary equipment;</w:t>
      </w:r>
    </w:p>
    <w:p w:rsidR="00000000" w:rsidRPr="00220DAC" w:rsidRDefault="00BD4694" w:rsidP="00220DAC">
      <w:pPr>
        <w:pStyle w:val="ListBullet"/>
      </w:pPr>
      <w:r w:rsidRPr="00220DAC">
        <w:t>relationships with the assessment of any other units of competency;</w:t>
      </w:r>
    </w:p>
    <w:p w:rsidR="00000000" w:rsidRPr="00220DAC" w:rsidRDefault="00BD4694" w:rsidP="00220DAC">
      <w:pPr>
        <w:pStyle w:val="ListBullet"/>
      </w:pPr>
      <w:r w:rsidRPr="00220DAC">
        <w:t>suitable methodologies for conducting asse</w:t>
      </w:r>
      <w:r w:rsidRPr="00220DAC">
        <w:t>ssment including the potential for workplace simulation;</w:t>
      </w:r>
    </w:p>
    <w:p w:rsidR="00000000" w:rsidRPr="00220DAC" w:rsidRDefault="00BD4694" w:rsidP="00220DAC">
      <w:pPr>
        <w:pStyle w:val="ListBullet"/>
      </w:pPr>
      <w:r w:rsidRPr="00220DAC">
        <w:t>resource implications, for example access to particular equipment, infrastructure or situations;</w:t>
      </w:r>
    </w:p>
    <w:p w:rsidR="00000000" w:rsidRPr="00220DAC" w:rsidRDefault="00BD4694" w:rsidP="00220DAC">
      <w:pPr>
        <w:pStyle w:val="ListBullet"/>
      </w:pPr>
      <w:r w:rsidRPr="00220DAC">
        <w:t>how consistency in performance can be assessed over time, various contexts and with a range of evidenc</w:t>
      </w:r>
      <w:r w:rsidRPr="00220DAC">
        <w:t>e; and</w:t>
      </w:r>
    </w:p>
    <w:p w:rsidR="00000000" w:rsidRPr="00220DAC" w:rsidRDefault="00BD4694" w:rsidP="00220DAC">
      <w:pPr>
        <w:pStyle w:val="ListBullet"/>
      </w:pPr>
      <w:r w:rsidRPr="00220DAC">
        <w:t xml:space="preserve">the required underpinning knowledge and skills </w:t>
      </w:r>
    </w:p>
    <w:p w:rsidR="00000000" w:rsidRPr="00220DAC" w:rsidRDefault="00BD4694" w:rsidP="00220DAC">
      <w:pPr>
        <w:pStyle w:val="BodyText"/>
      </w:pPr>
    </w:p>
    <w:p w:rsidR="00000000" w:rsidRPr="00220DAC" w:rsidRDefault="00BD4694" w:rsidP="00220DAC">
      <w:pPr>
        <w:pStyle w:val="Heading2"/>
      </w:pPr>
      <w:r w:rsidRPr="00220DAC">
        <w:t xml:space="preserve">Employability Skills in Units of Competency </w:t>
      </w:r>
    </w:p>
    <w:p w:rsidR="00000000" w:rsidRPr="00220DAC" w:rsidRDefault="00BD4694" w:rsidP="00220DAC">
      <w:pPr>
        <w:pStyle w:val="BodyText"/>
      </w:pPr>
      <w:r w:rsidRPr="00220DAC">
        <w:t>The detail and application of Employability Skills facets will vary according to the job-role requirements of each industry. In developing Training Package</w:t>
      </w:r>
      <w:r w:rsidRPr="00220DAC">
        <w:t xml:space="preserve">s, industry stakeholders are consulted to identify appropriate facets of Employability Skills which are incorporated into the relevant units of competency and qualifications. </w:t>
      </w:r>
    </w:p>
    <w:p w:rsidR="00000000" w:rsidRPr="00220DAC" w:rsidRDefault="00BD4694" w:rsidP="00220DAC">
      <w:pPr>
        <w:pStyle w:val="BodyText"/>
      </w:pPr>
    </w:p>
    <w:p w:rsidR="00000000" w:rsidRPr="00220DAC" w:rsidRDefault="00BD4694" w:rsidP="00220DAC">
      <w:pPr>
        <w:pStyle w:val="BodyText"/>
      </w:pPr>
      <w:r w:rsidRPr="00220DAC">
        <w:t>Employability Skills are not a discrete requirement contained in units of compe</w:t>
      </w:r>
      <w:r w:rsidRPr="00220DAC">
        <w:t xml:space="preserve">tency (as was the case with Key Competencies). Employability Skills are specifically expressed in the context of the work outcomes described in units of competency and will appear in elements, performance criteria, range statements and evidence guides. As </w:t>
      </w:r>
      <w:r w:rsidRPr="00220DAC">
        <w:t xml:space="preserve">a result, users of Training Packages are required to review the entire unit of competency in order to accurately determine Employability Skills requirements. </w:t>
      </w:r>
    </w:p>
    <w:p w:rsidR="00000000" w:rsidRPr="00220DAC" w:rsidRDefault="00BD4694" w:rsidP="00220DAC">
      <w:pPr>
        <w:pStyle w:val="Heading3"/>
      </w:pPr>
    </w:p>
    <w:p w:rsidR="00000000" w:rsidRPr="00220DAC" w:rsidRDefault="00BD4694" w:rsidP="00220DAC">
      <w:pPr>
        <w:pStyle w:val="Heading3"/>
      </w:pPr>
      <w:r w:rsidRPr="00220DAC">
        <w:rPr>
          <w:rStyle w:val="SpecialBold"/>
        </w:rPr>
        <w:t>How Employability Skills relate to the Key Competencies</w:t>
      </w:r>
    </w:p>
    <w:p w:rsidR="00000000" w:rsidRPr="00220DAC" w:rsidRDefault="00BD4694" w:rsidP="00220DAC">
      <w:pPr>
        <w:pStyle w:val="BodyText"/>
      </w:pPr>
      <w:r w:rsidRPr="00220DAC">
        <w:t>The eight nationally agreed Employabilit</w:t>
      </w:r>
      <w:r w:rsidRPr="00220DAC">
        <w:t xml:space="preserve">y Skills now replace the seven Key Competencies in Training Packages. Trainers and assessors who have used Training Packages prior to the introduction of Employability Skills may find the following comparison useful. </w:t>
      </w:r>
    </w:p>
    <w:tbl>
      <w:tblPr>
        <w:tblW w:w="0" w:type="auto"/>
        <w:tblLayout w:type="fixed"/>
        <w:tblCellMar>
          <w:left w:w="62" w:type="dxa"/>
          <w:right w:w="62" w:type="dxa"/>
        </w:tblCellMar>
        <w:tblLook w:val="0000" w:firstRow="0" w:lastRow="0" w:firstColumn="0" w:lastColumn="0" w:noHBand="0" w:noVBand="0"/>
      </w:tblPr>
      <w:tblGrid>
        <w:gridCol w:w="2271"/>
        <w:gridCol w:w="4457"/>
      </w:tblGrid>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Pr="00220DAC" w:rsidRDefault="00BD4694" w:rsidP="00220DAC">
            <w:pPr>
              <w:pStyle w:val="BodyText"/>
            </w:pPr>
            <w:r w:rsidRPr="00220DAC">
              <w:rPr>
                <w:rStyle w:val="SpecialBold"/>
              </w:rPr>
              <w:t>Employability Skills</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Mayer Key Competencies</w:t>
            </w: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Communication</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Communicating ideas and information</w:t>
            </w: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Teamwork</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Working with others and in teams</w:t>
            </w: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Problem solving</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 xml:space="preserve">Solving problems </w:t>
            </w:r>
            <w:r w:rsidRPr="00220DAC">
              <w:br/>
              <w:t xml:space="preserve">Using mathematical ideas and techniques </w:t>
            </w: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lastRenderedPageBreak/>
              <w:t>Initiative and enterprise</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Planning and organising</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Collecting</w:t>
            </w:r>
            <w:r w:rsidRPr="00220DAC">
              <w:t xml:space="preserve">, analysing and organising information </w:t>
            </w:r>
            <w:r w:rsidRPr="00220DAC">
              <w:br/>
              <w:t xml:space="preserve">Planning and organising activities </w:t>
            </w: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Self-management</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p>
        </w:tc>
      </w:tr>
      <w:tr w:rsidR="00000000"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Learning</w:t>
            </w:r>
          </w:p>
        </w:tc>
        <w:tc>
          <w:tcPr>
            <w:tcW w:w="4457"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p>
        </w:tc>
      </w:tr>
      <w:tr w:rsidR="00000000" w:rsidRPr="00220DAC" w:rsidTr="00220DAC">
        <w:tc>
          <w:tcPr>
            <w:tcW w:w="2271"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Technology</w:t>
            </w:r>
          </w:p>
        </w:tc>
        <w:tc>
          <w:tcPr>
            <w:tcW w:w="4457" w:type="dxa"/>
            <w:tcBorders>
              <w:top w:val="nil"/>
              <w:left w:val="nil"/>
              <w:bottom w:val="nil"/>
              <w:right w:val="nil"/>
            </w:tcBorders>
            <w:tcMar>
              <w:top w:w="0" w:type="dxa"/>
              <w:left w:w="62" w:type="dxa"/>
              <w:bottom w:w="0" w:type="dxa"/>
              <w:right w:w="62" w:type="dxa"/>
            </w:tcMar>
            <w:vAlign w:val="center"/>
          </w:tcPr>
          <w:p w:rsidR="00000000" w:rsidRPr="00220DAC" w:rsidRDefault="00BD4694" w:rsidP="00220DAC">
            <w:pPr>
              <w:pStyle w:val="BodyText"/>
            </w:pPr>
            <w:r w:rsidRPr="00220DAC">
              <w:t>Using technology</w:t>
            </w:r>
          </w:p>
        </w:tc>
      </w:tr>
    </w:tbl>
    <w:p w:rsidR="00000000" w:rsidRPr="00220DAC" w:rsidRDefault="00BD4694" w:rsidP="00220DAC">
      <w:pPr>
        <w:pStyle w:val="BodyText"/>
      </w:pPr>
      <w:r w:rsidRPr="00220DAC">
        <w:t xml:space="preserve">When analysing the above table it is important to consider the relationship and natural overlap of Employability Skills. For example, using technology may involve communication skills and combine the understanding of mathematical concepts. </w:t>
      </w:r>
    </w:p>
    <w:p w:rsidR="00000000" w:rsidRPr="00220DAC" w:rsidRDefault="00BD4694" w:rsidP="00220DAC">
      <w:pPr>
        <w:pStyle w:val="Heading3"/>
      </w:pPr>
      <w:r w:rsidRPr="00220DAC">
        <w:rPr>
          <w:rStyle w:val="SpecialBold"/>
        </w:rPr>
        <w:t>Explicitly embe</w:t>
      </w:r>
      <w:r w:rsidRPr="00220DAC">
        <w:rPr>
          <w:rStyle w:val="SpecialBold"/>
        </w:rPr>
        <w:t>dding Employability Skills in units of competency</w:t>
      </w:r>
    </w:p>
    <w:p w:rsidR="00000000" w:rsidRPr="00220DAC" w:rsidRDefault="00BD4694" w:rsidP="00220DAC">
      <w:pPr>
        <w:pStyle w:val="BodyText"/>
      </w:pPr>
      <w:r w:rsidRPr="00220DAC">
        <w:t xml:space="preserve">This Training Package seeks to ensure that industry-endorsed Employability Skills are explicitly embedded in units of competency. The application of each skill and the level of detail included in each part </w:t>
      </w:r>
      <w:r w:rsidRPr="00220DAC">
        <w:t>of the unit will vary according to industry requirements and the nature of the unit of competency.</w:t>
      </w:r>
    </w:p>
    <w:p w:rsidR="00000000" w:rsidRPr="00220DAC" w:rsidRDefault="00BD4694" w:rsidP="00220DAC">
      <w:pPr>
        <w:pStyle w:val="BodyText"/>
      </w:pPr>
      <w:r w:rsidRPr="00220DAC">
        <w:t xml:space="preserve">Employability Skills must be both explicit and embedded within units of competency. This means that Employability Skills will be: </w:t>
      </w:r>
    </w:p>
    <w:p w:rsidR="00000000" w:rsidRPr="00220DAC" w:rsidRDefault="00BD4694" w:rsidP="00220DAC">
      <w:pPr>
        <w:pStyle w:val="ListBullet"/>
      </w:pPr>
      <w:r w:rsidRPr="00220DAC">
        <w:t>embedded in units of comp</w:t>
      </w:r>
      <w:r w:rsidRPr="00220DAC">
        <w:t>etency as part of the other performance requirements that make up the competency as a whole</w:t>
      </w:r>
    </w:p>
    <w:p w:rsidR="00000000" w:rsidRPr="00220DAC" w:rsidRDefault="00BD4694" w:rsidP="00220DAC">
      <w:pPr>
        <w:pStyle w:val="ListBullet"/>
      </w:pPr>
      <w:r w:rsidRPr="00220DAC">
        <w:t>explicitly described within units of competency to enable Training Packages users to identify accurately the performance requirements of each unit with regards to E</w:t>
      </w:r>
      <w:r w:rsidRPr="00220DAC">
        <w:t>mployability Skills.</w:t>
      </w:r>
    </w:p>
    <w:p w:rsidR="00000000" w:rsidRPr="00220DAC" w:rsidRDefault="00BD4694" w:rsidP="00220DAC">
      <w:pPr>
        <w:pStyle w:val="BodyText"/>
      </w:pPr>
      <w:r w:rsidRPr="00220DAC">
        <w:t>This Training Package also seeks to ensure that Employability Skills are well-defined and written into units of competency so that they are apparent, clear and can be delivered and assessed as an essential component of unit work outcom</w:t>
      </w:r>
      <w:r w:rsidRPr="00220DAC">
        <w:t xml:space="preserve">es. </w:t>
      </w:r>
    </w:p>
    <w:p w:rsidR="00000000" w:rsidRPr="00220DAC" w:rsidRDefault="00BD4694" w:rsidP="00220DAC">
      <w:pPr>
        <w:pStyle w:val="Heading3"/>
      </w:pPr>
      <w:r w:rsidRPr="00220DAC">
        <w:rPr>
          <w:rStyle w:val="SpecialBold"/>
        </w:rPr>
        <w:t xml:space="preserve">Sample unit of competency components showing Employability Skills </w:t>
      </w:r>
    </w:p>
    <w:p w:rsidR="00000000" w:rsidRPr="00220DAC" w:rsidRDefault="00BD4694" w:rsidP="00220DAC">
      <w:pPr>
        <w:pStyle w:val="BodyText"/>
      </w:pPr>
      <w:r w:rsidRPr="00220DAC">
        <w:t xml:space="preserve">The following table shows the sequence of a unit of competency, and each cell contains text taken from a range of units. It provides examples of </w:t>
      </w:r>
      <w:r w:rsidRPr="00220DAC">
        <w:t xml:space="preserve">where and how various Employability Skills could be embedded in each component. </w:t>
      </w:r>
    </w:p>
    <w:p w:rsidR="00000000" w:rsidRPr="00220DAC" w:rsidRDefault="00BD4694" w:rsidP="00220DAC">
      <w:pPr>
        <w:pStyle w:val="BodyText"/>
      </w:pPr>
      <w:r w:rsidRPr="00220DAC">
        <w:t>Please note that in the example, the bracketed Employability Skills are provided for clarific</w:t>
      </w:r>
      <w:r w:rsidRPr="00220DAC">
        <w:t xml:space="preserve">ation only and would not be present in units of competency within this Training Package. </w:t>
      </w:r>
    </w:p>
    <w:tbl>
      <w:tblPr>
        <w:tblW w:w="0" w:type="auto"/>
        <w:tblLayout w:type="fixed"/>
        <w:tblCellMar>
          <w:left w:w="62" w:type="dxa"/>
          <w:right w:w="62" w:type="dxa"/>
        </w:tblCellMar>
        <w:tblLook w:val="0000" w:firstRow="0" w:lastRow="0" w:firstColumn="0" w:lastColumn="0" w:noHBand="0" w:noVBand="0"/>
      </w:tblPr>
      <w:tblGrid>
        <w:gridCol w:w="1868"/>
        <w:gridCol w:w="6772"/>
      </w:tblGrid>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Unit Title</w:t>
            </w:r>
          </w:p>
        </w:tc>
        <w:tc>
          <w:tcPr>
            <w:tcW w:w="677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 xml:space="preserve">Give formal presentations and take part in meetings </w:t>
            </w:r>
            <w:r w:rsidRPr="00220DAC">
              <w:rPr>
                <w:rStyle w:val="SpecialBold"/>
              </w:rPr>
              <w:t>(Communication)</w:t>
            </w:r>
          </w:p>
        </w:tc>
      </w:tr>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Unit Descriptor</w:t>
            </w:r>
          </w:p>
        </w:tc>
        <w:tc>
          <w:tcPr>
            <w:tcW w:w="677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 xml:space="preserve">This unit covers the skills and knowledge required to promote the use </w:t>
            </w:r>
            <w:r w:rsidRPr="00220DAC">
              <w:t xml:space="preserve">and implementation of innovative work practices to effect change. </w:t>
            </w:r>
            <w:r w:rsidRPr="00220DAC">
              <w:rPr>
                <w:rStyle w:val="SpecialBold"/>
              </w:rPr>
              <w:t>(Initiative and enterprise)</w:t>
            </w:r>
          </w:p>
        </w:tc>
      </w:tr>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lastRenderedPageBreak/>
              <w:t>Element</w:t>
            </w:r>
          </w:p>
        </w:tc>
        <w:tc>
          <w:tcPr>
            <w:tcW w:w="677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Proactively resolve issues. (problem solving)</w:t>
            </w:r>
          </w:p>
        </w:tc>
      </w:tr>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Performance Criteria</w:t>
            </w:r>
          </w:p>
        </w:tc>
        <w:tc>
          <w:tcPr>
            <w:tcW w:w="677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Information is organised in a format suitable for analysis and dissemination in accor</w:t>
            </w:r>
            <w:r w:rsidRPr="00220DAC">
              <w:t xml:space="preserve">dance with organisational requirements. </w:t>
            </w:r>
            <w:r w:rsidRPr="00220DAC">
              <w:rPr>
                <w:rStyle w:val="SpecialBold"/>
              </w:rPr>
              <w:t>(Planning and organising)</w:t>
            </w:r>
          </w:p>
        </w:tc>
      </w:tr>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Range Statement</w:t>
            </w:r>
          </w:p>
        </w:tc>
        <w:tc>
          <w:tcPr>
            <w:tcW w:w="6772"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t>Software applications may include email, internet, word processing, spreadsheet, database or accounting packages. (technology)</w:t>
            </w:r>
          </w:p>
        </w:tc>
      </w:tr>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Required Skills and Knowledge</w:t>
            </w:r>
          </w:p>
        </w:tc>
        <w:tc>
          <w:tcPr>
            <w:tcW w:w="6772" w:type="dxa"/>
            <w:tcBorders>
              <w:top w:val="nil"/>
              <w:left w:val="nil"/>
              <w:bottom w:val="nil"/>
              <w:right w:val="nil"/>
            </w:tcBorders>
            <w:tcMar>
              <w:top w:w="0" w:type="dxa"/>
              <w:left w:w="62" w:type="dxa"/>
              <w:bottom w:w="0" w:type="dxa"/>
              <w:right w:w="62" w:type="dxa"/>
            </w:tcMar>
            <w:vAlign w:val="center"/>
          </w:tcPr>
          <w:p w:rsidR="00000000" w:rsidRPr="00220DAC" w:rsidRDefault="00BD4694" w:rsidP="00220DAC">
            <w:pPr>
              <w:pStyle w:val="BodyText"/>
            </w:pPr>
            <w:r w:rsidRPr="00220DAC">
              <w:t>Modify activiti</w:t>
            </w:r>
            <w:r w:rsidRPr="00220DAC">
              <w:t>es depending on differing workplace contexts, risk situations and environments.</w:t>
            </w:r>
            <w:r w:rsidRPr="00220DAC">
              <w:rPr>
                <w:rStyle w:val="SpecialBold"/>
              </w:rPr>
              <w:t xml:space="preserve"> (Learning)</w:t>
            </w:r>
          </w:p>
          <w:p w:rsidR="00000000" w:rsidRPr="00220DAC" w:rsidRDefault="00BD4694" w:rsidP="00220DAC">
            <w:pPr>
              <w:pStyle w:val="BodyText"/>
            </w:pPr>
            <w:r w:rsidRPr="00220DAC">
              <w:t>Work collaboratively with others during a fire emergency. (teamwork)</w:t>
            </w:r>
          </w:p>
          <w:p w:rsidR="00000000" w:rsidRDefault="00BD4694" w:rsidP="00220DAC">
            <w:pPr>
              <w:pStyle w:val="BodyText"/>
              <w:rPr>
                <w:lang w:val="en-NZ"/>
              </w:rPr>
            </w:pPr>
            <w:r w:rsidRPr="00220DAC">
              <w:t>Instructions, procedures and other information relevant the maintenance of vessel and port secur</w:t>
            </w:r>
            <w:r w:rsidRPr="00220DAC">
              <w:t xml:space="preserve">ity. </w:t>
            </w:r>
            <w:r w:rsidRPr="00220DAC">
              <w:rPr>
                <w:rStyle w:val="SpecialBold"/>
              </w:rPr>
              <w:t>(Communication)</w:t>
            </w:r>
          </w:p>
        </w:tc>
      </w:tr>
      <w:tr w:rsidR="00000000" w:rsidRPr="00220DAC" w:rsidTr="00220DAC">
        <w:tc>
          <w:tcPr>
            <w:tcW w:w="1868" w:type="dxa"/>
            <w:tcBorders>
              <w:top w:val="nil"/>
              <w:left w:val="nil"/>
              <w:bottom w:val="nil"/>
              <w:right w:val="nil"/>
            </w:tcBorders>
            <w:tcMar>
              <w:top w:w="0" w:type="dxa"/>
              <w:left w:w="62" w:type="dxa"/>
              <w:bottom w:w="0" w:type="dxa"/>
              <w:right w:w="62" w:type="dxa"/>
            </w:tcMar>
            <w:vAlign w:val="center"/>
          </w:tcPr>
          <w:p w:rsidR="00000000" w:rsidRDefault="00BD4694" w:rsidP="00220DAC">
            <w:pPr>
              <w:pStyle w:val="BodyText"/>
              <w:rPr>
                <w:lang w:val="en-NZ"/>
              </w:rPr>
            </w:pPr>
            <w:r w:rsidRPr="00220DAC">
              <w:rPr>
                <w:rStyle w:val="SpecialBold"/>
              </w:rPr>
              <w:t>Evidence Guide</w:t>
            </w:r>
          </w:p>
        </w:tc>
        <w:tc>
          <w:tcPr>
            <w:tcW w:w="6772" w:type="dxa"/>
            <w:tcBorders>
              <w:top w:val="nil"/>
              <w:left w:val="nil"/>
              <w:bottom w:val="nil"/>
              <w:right w:val="nil"/>
            </w:tcBorders>
            <w:tcMar>
              <w:top w:w="0" w:type="dxa"/>
              <w:left w:w="62" w:type="dxa"/>
              <w:bottom w:w="0" w:type="dxa"/>
              <w:right w:w="62" w:type="dxa"/>
            </w:tcMar>
            <w:vAlign w:val="center"/>
          </w:tcPr>
          <w:p w:rsidR="00000000" w:rsidRPr="00220DAC" w:rsidRDefault="00BD4694" w:rsidP="00220DAC">
            <w:pPr>
              <w:pStyle w:val="BodyText"/>
            </w:pPr>
            <w:r w:rsidRPr="00220DAC">
              <w:t xml:space="preserve">Evidence of having worked constructively with a wide range of community groups and stakeholders to solve problems and adapt or design new solutions </w:t>
            </w:r>
            <w:r w:rsidRPr="00220DAC">
              <w:t>to meet identified needs in crime prevention. In particular, evidence must be obtained on the ability to:</w:t>
            </w:r>
          </w:p>
          <w:p w:rsidR="00000000" w:rsidRPr="00220DAC" w:rsidRDefault="00BD4694" w:rsidP="00220DAC">
            <w:pPr>
              <w:pStyle w:val="ListBullet"/>
            </w:pPr>
            <w:r w:rsidRPr="00220DAC">
              <w:t>assess response options to identified crime-prevention needs and determine the optimal action to be implemented</w:t>
            </w:r>
          </w:p>
          <w:p w:rsidR="00000000" w:rsidRPr="00220DAC" w:rsidRDefault="00BD4694" w:rsidP="00220DAC">
            <w:pPr>
              <w:pStyle w:val="ListBullet"/>
            </w:pPr>
            <w:r w:rsidRPr="00220DAC">
              <w:t>in consultation with relevant others,</w:t>
            </w:r>
            <w:r w:rsidRPr="00220DAC">
              <w:t xml:space="preserve"> design an initiative to address identified issues. </w:t>
            </w:r>
            <w:r w:rsidRPr="00220DAC">
              <w:rPr>
                <w:rStyle w:val="SpecialBold"/>
              </w:rPr>
              <w:t>(Initiative and enterprise).</w:t>
            </w:r>
          </w:p>
        </w:tc>
      </w:tr>
    </w:tbl>
    <w:p w:rsidR="00000000" w:rsidRPr="00220DAC" w:rsidRDefault="00BD4694" w:rsidP="00220DAC">
      <w:pPr>
        <w:pStyle w:val="Heading3"/>
      </w:pPr>
    </w:p>
    <w:p w:rsidR="00000000" w:rsidRPr="00220DAC" w:rsidRDefault="00BD4694" w:rsidP="00220DAC">
      <w:pPr>
        <w:pStyle w:val="Heading3"/>
      </w:pPr>
      <w:r w:rsidRPr="00220DAC">
        <w:t>Employability Skills Summaries and units of competency</w:t>
      </w:r>
    </w:p>
    <w:p w:rsidR="00BD4694" w:rsidRDefault="00BD4694" w:rsidP="00220DAC">
      <w:pPr>
        <w:pStyle w:val="BodyText"/>
      </w:pPr>
      <w:r w:rsidRPr="00220DAC">
        <w:t>An Employability Skills Summary exists for each qualification. Summaries include broad advice on industry expectations</w:t>
      </w:r>
      <w:r w:rsidRPr="00220DAC">
        <w:t xml:space="preserve"> with regard to Employability Skills at the qualification level. Summaries should be used by trainers and assessors to assist in identifying the Employability Skills requirements contained within units of competency</w:t>
      </w:r>
    </w:p>
    <w:p w:rsidR="00BD4694" w:rsidRDefault="00BD4694" w:rsidP="00220DAC">
      <w:pPr>
        <w:pStyle w:val="BodyText"/>
      </w:pPr>
    </w:p>
    <w:p w:rsidR="00000000" w:rsidRPr="00220DAC" w:rsidRDefault="00BD4694" w:rsidP="00220DAC">
      <w:pPr>
        <w:pStyle w:val="SuperHeading"/>
      </w:pPr>
      <w:bookmarkStart w:id="25" w:name="O_515219"/>
      <w:bookmarkStart w:id="26" w:name="_Toc394059863"/>
      <w:bookmarkEnd w:id="25"/>
      <w:r w:rsidRPr="00220DAC">
        <w:t>Licensing_Regulation R</w:t>
      </w:r>
      <w:r w:rsidRPr="00220DAC">
        <w:t>equirements</w:t>
      </w:r>
      <w:bookmarkEnd w:id="26"/>
    </w:p>
    <w:p w:rsidR="00000000" w:rsidRPr="00220DAC" w:rsidRDefault="00BD4694" w:rsidP="00220DAC">
      <w:pPr>
        <w:pStyle w:val="BodyText"/>
      </w:pPr>
    </w:p>
    <w:p w:rsidR="00000000" w:rsidRPr="00220DAC" w:rsidRDefault="00BD4694" w:rsidP="00220DAC">
      <w:pPr>
        <w:pStyle w:val="Heading2"/>
      </w:pPr>
      <w:r w:rsidRPr="00220DAC">
        <w:t>Licensing/Registration Requirements – Industry Specific Advice</w:t>
      </w:r>
    </w:p>
    <w:p w:rsidR="00000000" w:rsidRPr="00220DAC" w:rsidRDefault="00BD4694" w:rsidP="00220DAC">
      <w:pPr>
        <w:pStyle w:val="BodyText"/>
      </w:pPr>
    </w:p>
    <w:p w:rsidR="00000000" w:rsidRPr="00220DAC" w:rsidRDefault="00BD4694" w:rsidP="00220DAC">
      <w:pPr>
        <w:pStyle w:val="BodyText"/>
      </w:pPr>
      <w:r w:rsidRPr="00220DAC">
        <w:t>Licensing/registration requirements for particular job functions described in units of competency vary significantly. There are variations between states and territories, and also between individual mills depending on the equipment and processes being used</w:t>
      </w:r>
      <w:r w:rsidRPr="00220DAC">
        <w:t xml:space="preserve">. </w:t>
      </w:r>
    </w:p>
    <w:p w:rsidR="00000000" w:rsidRPr="00220DAC" w:rsidRDefault="00BD4694" w:rsidP="00220DAC">
      <w:pPr>
        <w:pStyle w:val="BodyText"/>
      </w:pPr>
      <w:r w:rsidRPr="00220DAC">
        <w:t>Organisations delivering training must determine the applicable licensing requirements associated with the equipment being used in the relevant states and territories. To assist this, some units note that specific licensing/registration requirements may</w:t>
      </w:r>
      <w:r w:rsidRPr="00220DAC">
        <w:t xml:space="preserve"> apply. </w:t>
      </w:r>
    </w:p>
    <w:p w:rsidR="00000000" w:rsidRPr="00220DAC" w:rsidRDefault="00BD4694" w:rsidP="00220DAC">
      <w:pPr>
        <w:pStyle w:val="BodyText"/>
      </w:pPr>
      <w:r w:rsidRPr="00220DAC">
        <w:lastRenderedPageBreak/>
        <w:t xml:space="preserve">Furthermore, the relevant units stipulate that any applicable licensing/registration requirements must be met separately and prior to the achievement of the respective unit from this training package. Therefore, both assessors and candidates must </w:t>
      </w:r>
      <w:r w:rsidRPr="00220DAC">
        <w:t xml:space="preserve">hold the relevant licensing/registration requirements prior to commencing training or assessing in the respective units from this training package. </w:t>
      </w:r>
    </w:p>
    <w:p w:rsidR="00000000" w:rsidRPr="00220DAC" w:rsidRDefault="00BD4694" w:rsidP="00220DAC">
      <w:pPr>
        <w:pStyle w:val="BodyText"/>
      </w:pPr>
      <w:r w:rsidRPr="00220DAC">
        <w:t>As such, the units of competency contained in this training package do not cover licensing/registration req</w:t>
      </w:r>
      <w:r w:rsidRPr="00220DAC">
        <w:t>uirements.</w:t>
      </w:r>
    </w:p>
    <w:p w:rsidR="00000000" w:rsidRPr="00220DAC" w:rsidRDefault="00BD4694" w:rsidP="00220DAC"/>
    <w:sectPr w:rsidR="00000000" w:rsidRPr="00220DAC" w:rsidSect="00220DAC">
      <w:headerReference w:type="default" r:id="rId20"/>
      <w:footerReference w:type="default" r:id="rId21"/>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AC" w:rsidRDefault="00220DAC" w:rsidP="00220DAC">
      <w:r>
        <w:separator/>
      </w:r>
    </w:p>
  </w:endnote>
  <w:endnote w:type="continuationSeparator" w:id="0">
    <w:p w:rsidR="00220DAC" w:rsidRDefault="00220DAC" w:rsidP="0022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pPr>
      <w:pStyle w:val="Footer"/>
      <w:framePr w:wrap="around"/>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rsidP="00BD4694">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66</w:t>
      </w:r>
    </w:fldSimple>
  </w:p>
  <w:p w:rsidR="00BD4694" w:rsidRDefault="00BD4694" w:rsidP="00BD4694">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ForestWorks Learning and Skill Development</w:t>
      </w:r>
    </w:fldSimple>
  </w:p>
  <w:p w:rsidR="00BD4694" w:rsidRDefault="00BD4694">
    <w:pPr>
      <w:pStyle w:val="Footer"/>
      <w:framePr w:wrap="arou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rsidP="00220DAC">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66</w:t>
      </w:r>
    </w:fldSimple>
  </w:p>
  <w:p w:rsidR="00BD4694" w:rsidRDefault="00BD4694" w:rsidP="00220DAC">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ForestWorks Learning and Skill Development</w:t>
      </w:r>
    </w:fldSimple>
  </w:p>
  <w:p w:rsidR="00BD4694" w:rsidRDefault="00BD4694" w:rsidP="00220DAC">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AC" w:rsidRDefault="00220DAC" w:rsidP="00220DAC">
      <w:r>
        <w:separator/>
      </w:r>
    </w:p>
  </w:footnote>
  <w:footnote w:type="continuationSeparator" w:id="0">
    <w:p w:rsidR="00220DAC" w:rsidRDefault="00220DAC" w:rsidP="0022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AC" w:rsidRPr="00BD4694" w:rsidRDefault="00BD4694" w:rsidP="00BD4694">
    <w:pPr>
      <w:pStyle w:val="BodyText"/>
    </w:pPr>
    <w:r>
      <w:rPr>
        <w:noProof/>
        <w:lang w:eastAsia="en-AU"/>
      </w:rPr>
      <w:drawing>
        <wp:anchor distT="0" distB="0" distL="114300" distR="114300" simplePos="0" relativeHeight="251659264" behindDoc="1" locked="0" layoutInCell="1" allowOverlap="1" wp14:anchorId="73CB9B18" wp14:editId="6509E286">
          <wp:simplePos x="0" y="0"/>
          <wp:positionH relativeFrom="margin">
            <wp:align>center</wp:align>
          </wp:positionH>
          <wp:positionV relativeFrom="margin">
            <wp:align>center</wp:align>
          </wp:positionV>
          <wp:extent cx="7732085" cy="10923717"/>
          <wp:effectExtent l="0" t="0" r="254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2085" cy="1092371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Pr="00FC71B8" w:rsidRDefault="00BD4694" w:rsidP="00BD4694">
    <w:pPr>
      <w:pStyle w:val="Header"/>
      <w:framePr w:wrap="around"/>
    </w:pPr>
    <w:fldSimple w:instr=" STYLEREF  TOCTitle  \* MERGEFORMAT ">
      <w:r w:rsidRPr="00BD4694">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25 July 2014</w:t>
    </w:r>
    <w:r>
      <w:fldChar w:fldCharType="end"/>
    </w:r>
  </w:p>
  <w:p w:rsidR="00BD4694" w:rsidRPr="00BD4694" w:rsidRDefault="00BD4694" w:rsidP="00BD4694">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4" w:rsidRDefault="00BD4694" w:rsidP="00220DAC">
    <w:pPr>
      <w:pStyle w:val="Header"/>
      <w:framePr w:wrap="around"/>
    </w:pPr>
    <w:fldSimple w:instr=" STYLEREF  SuperHeading  \* MERGEFORMAT ">
      <w:r w:rsidRPr="00BD4694">
        <w:rPr>
          <w:b/>
          <w:bCs/>
          <w:noProof/>
          <w:lang w:val="en-US"/>
        </w:rPr>
        <w:t>Preliminary</w:t>
      </w:r>
      <w:r>
        <w:rPr>
          <w:noProof/>
        </w:rPr>
        <w:t xml:space="preserve"> Information</w:t>
      </w:r>
    </w:fldSimple>
    <w:r>
      <w:tab/>
      <w:t xml:space="preserve">Date this document was generated: </w:t>
    </w:r>
    <w:r>
      <w:fldChar w:fldCharType="begin"/>
    </w:r>
    <w:r>
      <w:instrText xml:space="preserve"> CREATEDATE  \@ "d MMMM yyyy"  \* MERGEFORMAT </w:instrText>
    </w:r>
    <w:r>
      <w:fldChar w:fldCharType="separate"/>
    </w:r>
    <w:r>
      <w:rPr>
        <w:noProof/>
      </w:rPr>
      <w:t>25 July 2014</w:t>
    </w:r>
    <w:r>
      <w:fldChar w:fldCharType="end"/>
    </w:r>
  </w:p>
  <w:p w:rsidR="00BD4694" w:rsidRDefault="00BD4694" w:rsidP="00220DAC">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9066046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0BC03B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AF8A8EC"/>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7704E"/>
    <w:multiLevelType w:val="multilevel"/>
    <w:tmpl w:val="4210DE1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2">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A1F501D"/>
    <w:multiLevelType w:val="multilevel"/>
    <w:tmpl w:val="4210DE1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6">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17"/>
  </w:num>
  <w:num w:numId="5">
    <w:abstractNumId w:val="12"/>
  </w:num>
  <w:num w:numId="6">
    <w:abstractNumId w:val="16"/>
  </w:num>
  <w:num w:numId="7">
    <w:abstractNumId w:val="14"/>
  </w:num>
  <w:num w:numId="8">
    <w:abstractNumId w:val="11"/>
  </w:num>
  <w:num w:numId="9">
    <w:abstractNumId w:val="5"/>
  </w:num>
  <w:num w:numId="10">
    <w:abstractNumId w:val="4"/>
  </w:num>
  <w:num w:numId="11">
    <w:abstractNumId w:val="3"/>
  </w:num>
  <w:num w:numId="12">
    <w:abstractNumId w:val="15"/>
  </w:num>
  <w:num w:numId="13">
    <w:abstractNumId w:val="2"/>
  </w:num>
  <w:num w:numId="14">
    <w:abstractNumId w:val="1"/>
  </w:num>
  <w:num w:numId="15">
    <w:abstractNumId w:val="0"/>
  </w:num>
  <w:num w:numId="16">
    <w:abstractNumId w:val="9"/>
  </w:num>
  <w:num w:numId="17">
    <w:abstractNumId w:val="8"/>
    <w:lvlOverride w:ilvl="0">
      <w:lvl w:ilvl="0">
        <w:numFmt w:val="bullet"/>
        <w:lvlText w:val=""/>
        <w:legacy w:legacy="1" w:legacySpace="0" w:legacyIndent="0"/>
        <w:lvlJc w:val="left"/>
        <w:pPr>
          <w:ind w:left="0" w:firstLine="0"/>
        </w:pPr>
        <w:rPr>
          <w:rFonts w:ascii="Wingdings" w:hAnsi="Wingdings" w:hint="default"/>
        </w:rPr>
      </w:lvl>
    </w:lvlOverride>
  </w:num>
  <w:num w:numId="18">
    <w:abstractNumId w:val="1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20DAC"/>
    <w:rsid w:val="00220DAC"/>
    <w:rsid w:val="00BD4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unhideWhenUsed="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C"/>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220DAC"/>
    <w:pPr>
      <w:spacing w:before="360" w:after="60"/>
      <w:outlineLvl w:val="0"/>
    </w:pPr>
    <w:rPr>
      <w:sz w:val="32"/>
    </w:rPr>
  </w:style>
  <w:style w:type="paragraph" w:styleId="Heading2">
    <w:name w:val="heading 2"/>
    <w:basedOn w:val="HeadingBase"/>
    <w:next w:val="BodyText"/>
    <w:link w:val="Heading2Char"/>
    <w:qFormat/>
    <w:rsid w:val="00220DAC"/>
    <w:pPr>
      <w:keepLines/>
      <w:spacing w:before="240" w:after="120"/>
      <w:outlineLvl w:val="1"/>
    </w:pPr>
    <w:rPr>
      <w:sz w:val="28"/>
      <w:szCs w:val="40"/>
    </w:rPr>
  </w:style>
  <w:style w:type="paragraph" w:styleId="Heading3">
    <w:name w:val="heading 3"/>
    <w:basedOn w:val="HeadingBase"/>
    <w:next w:val="BodyText"/>
    <w:link w:val="Heading3Char"/>
    <w:qFormat/>
    <w:rsid w:val="00220DAC"/>
    <w:pPr>
      <w:spacing w:before="180" w:after="120"/>
      <w:outlineLvl w:val="2"/>
    </w:pPr>
    <w:rPr>
      <w:spacing w:val="-10"/>
      <w:kern w:val="32"/>
    </w:rPr>
  </w:style>
  <w:style w:type="paragraph" w:styleId="Heading4">
    <w:name w:val="heading 4"/>
    <w:basedOn w:val="HeadingBase"/>
    <w:next w:val="BodyText"/>
    <w:link w:val="Heading4Char"/>
    <w:qFormat/>
    <w:rsid w:val="00220DAC"/>
    <w:pPr>
      <w:spacing w:before="160" w:after="120"/>
      <w:outlineLvl w:val="3"/>
    </w:pPr>
    <w:rPr>
      <w:sz w:val="22"/>
    </w:rPr>
  </w:style>
  <w:style w:type="paragraph" w:styleId="Heading5">
    <w:name w:val="heading 5"/>
    <w:basedOn w:val="HeadingBase"/>
    <w:next w:val="Normal"/>
    <w:link w:val="Heading5Char"/>
    <w:qFormat/>
    <w:rsid w:val="00220DAC"/>
    <w:pPr>
      <w:spacing w:before="80"/>
      <w:outlineLvl w:val="4"/>
    </w:pPr>
    <w:rPr>
      <w:color w:val="918585"/>
      <w:sz w:val="20"/>
    </w:rPr>
  </w:style>
  <w:style w:type="paragraph" w:styleId="Heading6">
    <w:name w:val="heading 6"/>
    <w:basedOn w:val="HeadingBase"/>
    <w:next w:val="Normal"/>
    <w:link w:val="Heading6Char"/>
    <w:qFormat/>
    <w:rsid w:val="00220DAC"/>
    <w:pPr>
      <w:spacing w:before="60"/>
      <w:outlineLvl w:val="5"/>
    </w:pPr>
    <w:rPr>
      <w:color w:val="918585"/>
      <w:sz w:val="20"/>
    </w:rPr>
  </w:style>
  <w:style w:type="paragraph" w:styleId="Heading7">
    <w:name w:val="heading 7"/>
    <w:basedOn w:val="Normal"/>
    <w:next w:val="Normal"/>
    <w:link w:val="Heading7Char"/>
    <w:qFormat/>
    <w:rsid w:val="00220DAC"/>
    <w:pPr>
      <w:ind w:left="720"/>
      <w:outlineLvl w:val="6"/>
    </w:pPr>
    <w:rPr>
      <w:i/>
    </w:rPr>
  </w:style>
  <w:style w:type="paragraph" w:styleId="Heading8">
    <w:name w:val="heading 8"/>
    <w:basedOn w:val="Normal"/>
    <w:next w:val="Normal"/>
    <w:link w:val="Heading8Char"/>
    <w:qFormat/>
    <w:rsid w:val="00220DAC"/>
    <w:pPr>
      <w:ind w:left="720"/>
      <w:outlineLvl w:val="7"/>
    </w:pPr>
    <w:rPr>
      <w:i/>
    </w:rPr>
  </w:style>
  <w:style w:type="paragraph" w:styleId="Heading9">
    <w:name w:val="heading 9"/>
    <w:basedOn w:val="Normal"/>
    <w:next w:val="Normal"/>
    <w:link w:val="Heading9Char"/>
    <w:qFormat/>
    <w:rsid w:val="00220DAC"/>
    <w:pPr>
      <w:ind w:left="720"/>
      <w:outlineLvl w:val="8"/>
    </w:pPr>
    <w:rPr>
      <w:i/>
    </w:rPr>
  </w:style>
  <w:style w:type="character" w:default="1" w:styleId="DefaultParagraphFont">
    <w:name w:val="Default Paragraph Font"/>
    <w:uiPriority w:val="1"/>
    <w:unhideWhenUsed/>
    <w:rsid w:val="00220D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DAC"/>
  </w:style>
  <w:style w:type="character" w:customStyle="1" w:styleId="Heading1Char">
    <w:name w:val="Heading 1 Char"/>
    <w:basedOn w:val="DefaultParagraphFont"/>
    <w:link w:val="Heading1"/>
    <w:rsid w:val="00220DAC"/>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220DAC"/>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220DAC"/>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220DAC"/>
    <w:rPr>
      <w:rFonts w:ascii="Times New Roman" w:eastAsia="Times New Roman" w:hAnsi="Times New Roman" w:cs="Times New Roman"/>
      <w:b/>
      <w:szCs w:val="20"/>
      <w:lang w:eastAsia="en-US"/>
    </w:rPr>
  </w:style>
  <w:style w:type="paragraph" w:styleId="BodyText">
    <w:name w:val="Body Text"/>
    <w:basedOn w:val="Normal"/>
    <w:link w:val="BodyTextChar"/>
    <w:rsid w:val="00220DAC"/>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220DAC"/>
    <w:rPr>
      <w:rFonts w:ascii="Times New Roman" w:eastAsia="Times New Roman" w:hAnsi="Times New Roman" w:cs="Times New Roman"/>
      <w:sz w:val="24"/>
      <w:lang w:eastAsia="en-US"/>
    </w:rPr>
  </w:style>
  <w:style w:type="paragraph" w:styleId="ListBullet">
    <w:name w:val="List Bullet"/>
    <w:basedOn w:val="List"/>
    <w:rsid w:val="00220DAC"/>
    <w:pPr>
      <w:numPr>
        <w:numId w:val="7"/>
      </w:numPr>
      <w:tabs>
        <w:tab w:val="clear" w:pos="340"/>
      </w:tabs>
      <w:spacing w:before="40" w:after="40"/>
    </w:pPr>
  </w:style>
  <w:style w:type="paragraph" w:styleId="ListBullet2">
    <w:name w:val="List Bullet 2"/>
    <w:basedOn w:val="List2"/>
    <w:rsid w:val="00220DAC"/>
    <w:pPr>
      <w:numPr>
        <w:numId w:val="8"/>
      </w:numPr>
      <w:tabs>
        <w:tab w:val="clear" w:pos="680"/>
      </w:tabs>
    </w:pPr>
  </w:style>
  <w:style w:type="character" w:styleId="Emphasis">
    <w:name w:val="Emphasis"/>
    <w:basedOn w:val="DefaultParagraphFont"/>
    <w:qFormat/>
    <w:rsid w:val="00220DAC"/>
    <w:rPr>
      <w:i/>
    </w:rPr>
  </w:style>
  <w:style w:type="paragraph" w:customStyle="1" w:styleId="SuperHeading">
    <w:name w:val="SuperHeading"/>
    <w:basedOn w:val="Normal"/>
    <w:rsid w:val="00220DAC"/>
    <w:pPr>
      <w:spacing w:before="240" w:after="120"/>
      <w:outlineLvl w:val="0"/>
    </w:pPr>
    <w:rPr>
      <w:rFonts w:ascii="Times New Roman" w:hAnsi="Times New Roman"/>
      <w:b/>
      <w:sz w:val="32"/>
    </w:rPr>
  </w:style>
  <w:style w:type="paragraph" w:customStyle="1" w:styleId="AllowPageBreak">
    <w:name w:val="AllowPageBreak"/>
    <w:rsid w:val="00220DAC"/>
    <w:pPr>
      <w:widowControl w:val="0"/>
      <w:spacing w:after="0" w:line="240" w:lineRule="auto"/>
    </w:pPr>
    <w:rPr>
      <w:rFonts w:ascii="Times New Roman" w:eastAsia="Times New Roman" w:hAnsi="Times New Roman" w:cs="Times New Roman"/>
      <w:noProof/>
      <w:sz w:val="2"/>
      <w:szCs w:val="20"/>
      <w:lang w:eastAsia="en-US"/>
    </w:rPr>
  </w:style>
  <w:style w:type="paragraph" w:styleId="ListContinue">
    <w:name w:val="List Continue"/>
    <w:basedOn w:val="List"/>
    <w:rsid w:val="00220DAC"/>
    <w:pPr>
      <w:ind w:firstLine="0"/>
    </w:pPr>
  </w:style>
  <w:style w:type="paragraph" w:customStyle="1" w:styleId="ListAlpha">
    <w:name w:val="List Alpha"/>
    <w:basedOn w:val="List"/>
    <w:rsid w:val="00220DAC"/>
    <w:pPr>
      <w:numPr>
        <w:numId w:val="5"/>
      </w:numPr>
    </w:pPr>
  </w:style>
  <w:style w:type="paragraph" w:styleId="List2">
    <w:name w:val="List 2"/>
    <w:basedOn w:val="BodyText"/>
    <w:rsid w:val="00220DAC"/>
    <w:pPr>
      <w:tabs>
        <w:tab w:val="left" w:pos="680"/>
      </w:tabs>
      <w:spacing w:before="60" w:after="60"/>
      <w:ind w:left="680" w:hanging="340"/>
    </w:pPr>
  </w:style>
  <w:style w:type="paragraph" w:styleId="ListBullet3">
    <w:name w:val="List Bullet 3"/>
    <w:basedOn w:val="List3"/>
    <w:rsid w:val="00220DAC"/>
    <w:pPr>
      <w:numPr>
        <w:numId w:val="3"/>
      </w:numPr>
      <w:tabs>
        <w:tab w:val="clear" w:pos="1021"/>
      </w:tabs>
    </w:pPr>
  </w:style>
  <w:style w:type="character" w:customStyle="1" w:styleId="BoldandItalics">
    <w:name w:val="Bold and Italics"/>
    <w:qFormat/>
    <w:rsid w:val="00220DAC"/>
    <w:rPr>
      <w:b/>
      <w:i/>
      <w:u w:val="none"/>
    </w:rPr>
  </w:style>
  <w:style w:type="character" w:customStyle="1" w:styleId="SpecialBold">
    <w:name w:val="Special Bold"/>
    <w:basedOn w:val="DefaultParagraphFont"/>
    <w:rsid w:val="00220DAC"/>
    <w:rPr>
      <w:b/>
      <w:spacing w:val="0"/>
    </w:rPr>
  </w:style>
  <w:style w:type="character" w:customStyle="1" w:styleId="Heading5Char">
    <w:name w:val="Heading 5 Char"/>
    <w:basedOn w:val="DefaultParagraphFont"/>
    <w:link w:val="Heading5"/>
    <w:rsid w:val="00220DAC"/>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220DAC"/>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220DAC"/>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220DAC"/>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220DAC"/>
    <w:rPr>
      <w:rFonts w:ascii="Courier New" w:eastAsia="Times New Roman" w:hAnsi="Courier New" w:cs="Times New Roman"/>
      <w:i/>
      <w:szCs w:val="20"/>
      <w:lang w:eastAsia="en-US"/>
    </w:rPr>
  </w:style>
  <w:style w:type="paragraph" w:customStyle="1" w:styleId="HeadingBase">
    <w:name w:val="Heading Base"/>
    <w:rsid w:val="00220DAC"/>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220DAC"/>
    <w:pPr>
      <w:tabs>
        <w:tab w:val="right" w:leader="dot" w:pos="9072"/>
      </w:tabs>
      <w:ind w:left="567"/>
    </w:pPr>
    <w:rPr>
      <w:szCs w:val="22"/>
    </w:rPr>
  </w:style>
  <w:style w:type="paragraph" w:customStyle="1" w:styleId="TOCBase">
    <w:name w:val="TOC Base"/>
    <w:rsid w:val="00220DAC"/>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220DAC"/>
    <w:pPr>
      <w:tabs>
        <w:tab w:val="right" w:leader="dot" w:pos="9072"/>
      </w:tabs>
      <w:spacing w:before="40" w:after="40"/>
      <w:ind w:left="284"/>
    </w:pPr>
    <w:rPr>
      <w:rFonts w:ascii="Times New Roman" w:hAnsi="Times New Roman"/>
    </w:rPr>
  </w:style>
  <w:style w:type="paragraph" w:styleId="TOC1">
    <w:name w:val="toc 1"/>
    <w:basedOn w:val="TOCBase"/>
    <w:next w:val="Normal"/>
    <w:rsid w:val="00220DAC"/>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220DAC"/>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220DAC"/>
    <w:rPr>
      <w:rFonts w:ascii="Times New Roman" w:eastAsia="Times New Roman" w:hAnsi="Times New Roman" w:cs="Times New Roman"/>
      <w:sz w:val="16"/>
      <w:lang w:eastAsia="en-US"/>
    </w:rPr>
  </w:style>
  <w:style w:type="paragraph" w:styleId="Title">
    <w:name w:val="Title"/>
    <w:basedOn w:val="HeadingBase"/>
    <w:link w:val="TitleChar"/>
    <w:qFormat/>
    <w:rsid w:val="00220DAC"/>
    <w:pPr>
      <w:spacing w:before="5040"/>
      <w:jc w:val="center"/>
    </w:pPr>
    <w:rPr>
      <w:sz w:val="48"/>
      <w:szCs w:val="72"/>
      <w:lang w:val="en-US"/>
    </w:rPr>
  </w:style>
  <w:style w:type="character" w:customStyle="1" w:styleId="TitleChar">
    <w:name w:val="Title Char"/>
    <w:basedOn w:val="DefaultParagraphFont"/>
    <w:link w:val="Title"/>
    <w:rsid w:val="00220DAC"/>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220DAC"/>
    <w:pPr>
      <w:tabs>
        <w:tab w:val="left" w:pos="3600"/>
        <w:tab w:val="left" w:pos="3958"/>
      </w:tabs>
    </w:pPr>
  </w:style>
  <w:style w:type="paragraph" w:styleId="List">
    <w:name w:val="List"/>
    <w:basedOn w:val="BodyText"/>
    <w:next w:val="BodyText"/>
    <w:rsid w:val="00220DAC"/>
    <w:pPr>
      <w:tabs>
        <w:tab w:val="left" w:pos="340"/>
      </w:tabs>
      <w:spacing w:before="60" w:after="60"/>
      <w:ind w:left="340" w:hanging="340"/>
    </w:pPr>
  </w:style>
  <w:style w:type="paragraph" w:customStyle="1" w:styleId="Note">
    <w:name w:val="Note"/>
    <w:basedOn w:val="BodyText"/>
    <w:rsid w:val="00220DAC"/>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220DAC"/>
    <w:pPr>
      <w:framePr w:wrap="auto" w:hAnchor="text" w:y="6049"/>
    </w:pPr>
    <w:rPr>
      <w:color w:val="000000"/>
      <w:sz w:val="40"/>
    </w:rPr>
  </w:style>
  <w:style w:type="paragraph" w:customStyle="1" w:styleId="TOCTitle">
    <w:name w:val="TOCTitle"/>
    <w:basedOn w:val="Heading1"/>
    <w:rsid w:val="00220DAC"/>
    <w:pPr>
      <w:spacing w:after="240"/>
      <w:jc w:val="center"/>
      <w:outlineLvl w:val="9"/>
    </w:pPr>
    <w:rPr>
      <w:caps/>
    </w:rPr>
  </w:style>
  <w:style w:type="paragraph" w:customStyle="1" w:styleId="Version">
    <w:name w:val="Version"/>
    <w:rsid w:val="00220DAC"/>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220DAC"/>
    <w:pPr>
      <w:keepNext w:val="0"/>
      <w:tabs>
        <w:tab w:val="right" w:pos="4176"/>
      </w:tabs>
      <w:ind w:left="198" w:hanging="198"/>
    </w:pPr>
    <w:rPr>
      <w:rFonts w:ascii="Garamond" w:hAnsi="Garamond"/>
    </w:rPr>
  </w:style>
  <w:style w:type="paragraph" w:styleId="IndexHeading">
    <w:name w:val="index heading"/>
    <w:basedOn w:val="Normal"/>
    <w:next w:val="Index1"/>
    <w:semiHidden/>
    <w:rsid w:val="00220DAC"/>
    <w:pPr>
      <w:spacing w:before="120" w:after="120"/>
    </w:pPr>
    <w:rPr>
      <w:rFonts w:ascii="Arial" w:hAnsi="Arial"/>
      <w:b/>
      <w:color w:val="918585"/>
      <w:sz w:val="24"/>
    </w:rPr>
  </w:style>
  <w:style w:type="paragraph" w:styleId="Header">
    <w:name w:val="header"/>
    <w:basedOn w:val="Normal"/>
    <w:link w:val="HeaderChar"/>
    <w:rsid w:val="00220DAC"/>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220DAC"/>
    <w:rPr>
      <w:rFonts w:ascii="Times New Roman" w:eastAsia="Times New Roman" w:hAnsi="Times New Roman" w:cs="Times New Roman"/>
      <w:sz w:val="16"/>
      <w:szCs w:val="20"/>
      <w:lang w:val="en-GB" w:eastAsia="en-US"/>
    </w:rPr>
  </w:style>
  <w:style w:type="paragraph" w:customStyle="1" w:styleId="Chapter">
    <w:name w:val="Chapter"/>
    <w:basedOn w:val="Normal"/>
    <w:rsid w:val="00220DAC"/>
    <w:pPr>
      <w:spacing w:before="240"/>
    </w:pPr>
    <w:rPr>
      <w:rFonts w:ascii="Times New Roman" w:hAnsi="Times New Roman"/>
      <w:smallCaps/>
      <w:spacing w:val="80"/>
      <w:sz w:val="28"/>
    </w:rPr>
  </w:style>
  <w:style w:type="paragraph" w:customStyle="1" w:styleId="InChapter">
    <w:name w:val="InChapter"/>
    <w:basedOn w:val="Heading3"/>
    <w:rsid w:val="00220DAC"/>
    <w:pPr>
      <w:spacing w:after="240"/>
      <w:outlineLvl w:val="9"/>
    </w:pPr>
    <w:rPr>
      <w:noProof/>
    </w:rPr>
  </w:style>
  <w:style w:type="paragraph" w:styleId="Index2">
    <w:name w:val="index 2"/>
    <w:basedOn w:val="Normal"/>
    <w:next w:val="Normal"/>
    <w:semiHidden/>
    <w:rsid w:val="00220DAC"/>
    <w:pPr>
      <w:tabs>
        <w:tab w:val="right" w:pos="4176"/>
      </w:tabs>
      <w:ind w:left="568" w:hanging="284"/>
    </w:pPr>
    <w:rPr>
      <w:rFonts w:ascii="Garamond" w:hAnsi="Garamond"/>
    </w:rPr>
  </w:style>
  <w:style w:type="paragraph" w:customStyle="1" w:styleId="Byline">
    <w:name w:val="Byline"/>
    <w:rsid w:val="00220DAC"/>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220DAC"/>
    <w:pPr>
      <w:tabs>
        <w:tab w:val="clear" w:pos="3600"/>
        <w:tab w:val="clear" w:pos="3958"/>
      </w:tabs>
      <w:jc w:val="right"/>
    </w:pPr>
  </w:style>
  <w:style w:type="paragraph" w:styleId="Caption">
    <w:name w:val="caption"/>
    <w:basedOn w:val="BodyText"/>
    <w:next w:val="Normal"/>
    <w:qFormat/>
    <w:rsid w:val="00220DAC"/>
    <w:pPr>
      <w:framePr w:w="2268" w:hSpace="181" w:vSpace="181" w:wrap="around" w:vAnchor="text" w:hAnchor="page" w:x="1135" w:y="285" w:anchorLock="1"/>
    </w:pPr>
    <w:rPr>
      <w:i/>
    </w:rPr>
  </w:style>
  <w:style w:type="paragraph" w:customStyle="1" w:styleId="MiniTOCTitle">
    <w:name w:val="MiniTOCTitle"/>
    <w:basedOn w:val="Heading4"/>
    <w:rsid w:val="00220DAC"/>
    <w:pPr>
      <w:spacing w:before="240"/>
      <w:outlineLvl w:val="9"/>
    </w:pPr>
    <w:rPr>
      <w:noProof/>
      <w:sz w:val="24"/>
    </w:rPr>
  </w:style>
  <w:style w:type="paragraph" w:customStyle="1" w:styleId="MiniTOCItem">
    <w:name w:val="MiniTOCItem"/>
    <w:basedOn w:val="ListBullet"/>
    <w:rsid w:val="00220DAC"/>
    <w:pPr>
      <w:numPr>
        <w:numId w:val="0"/>
      </w:numPr>
      <w:tabs>
        <w:tab w:val="right" w:leader="dot" w:pos="6521"/>
      </w:tabs>
      <w:spacing w:before="0" w:after="0"/>
    </w:pPr>
  </w:style>
  <w:style w:type="paragraph" w:customStyle="1" w:styleId="TOFTitle">
    <w:name w:val="TOFTitle"/>
    <w:basedOn w:val="TOCTitle"/>
    <w:rsid w:val="00220DAC"/>
  </w:style>
  <w:style w:type="paragraph" w:styleId="TableofFigures">
    <w:name w:val="table of figures"/>
    <w:basedOn w:val="Normal"/>
    <w:next w:val="Normal"/>
    <w:uiPriority w:val="99"/>
    <w:rsid w:val="00220DAC"/>
    <w:pPr>
      <w:tabs>
        <w:tab w:val="right" w:leader="dot" w:pos="9072"/>
      </w:tabs>
      <w:ind w:left="970" w:hanging="403"/>
    </w:pPr>
    <w:rPr>
      <w:rFonts w:ascii="Times New Roman" w:hAnsi="Times New Roman"/>
      <w:b/>
    </w:rPr>
  </w:style>
  <w:style w:type="paragraph" w:styleId="ListNumber">
    <w:name w:val="List Number"/>
    <w:basedOn w:val="List"/>
    <w:rsid w:val="00220DAC"/>
    <w:pPr>
      <w:numPr>
        <w:numId w:val="12"/>
      </w:numPr>
    </w:pPr>
  </w:style>
  <w:style w:type="character" w:customStyle="1" w:styleId="WingdingSymbols">
    <w:name w:val="Wingding Symbols"/>
    <w:rsid w:val="00220DAC"/>
    <w:rPr>
      <w:rFonts w:ascii="Wingdings" w:hAnsi="Wingdings"/>
    </w:rPr>
  </w:style>
  <w:style w:type="paragraph" w:customStyle="1" w:styleId="TableHeading">
    <w:name w:val="Table Heading"/>
    <w:basedOn w:val="HeadingBase"/>
    <w:rsid w:val="00220DAC"/>
    <w:pPr>
      <w:keepLines/>
      <w:pBdr>
        <w:bottom w:val="single" w:sz="6" w:space="1" w:color="918585"/>
      </w:pBdr>
      <w:spacing w:before="240"/>
    </w:pPr>
  </w:style>
  <w:style w:type="character" w:customStyle="1" w:styleId="HotSpot">
    <w:name w:val="HotSpot"/>
    <w:rsid w:val="00220DAC"/>
    <w:rPr>
      <w:color w:val="0033CC"/>
      <w:u w:val="none"/>
    </w:rPr>
  </w:style>
  <w:style w:type="paragraph" w:customStyle="1" w:styleId="BodyTextRight">
    <w:name w:val="Body Text Right"/>
    <w:basedOn w:val="BodyText"/>
    <w:rsid w:val="00220DAC"/>
    <w:pPr>
      <w:spacing w:before="0" w:after="0"/>
      <w:jc w:val="right"/>
    </w:pPr>
  </w:style>
  <w:style w:type="paragraph" w:styleId="Index3">
    <w:name w:val="index 3"/>
    <w:basedOn w:val="ListNumber2"/>
    <w:next w:val="Normal"/>
    <w:semiHidden/>
    <w:rsid w:val="00220DAC"/>
    <w:pPr>
      <w:numPr>
        <w:numId w:val="0"/>
      </w:numPr>
      <w:tabs>
        <w:tab w:val="right" w:leader="dot" w:pos="4176"/>
      </w:tabs>
    </w:pPr>
  </w:style>
  <w:style w:type="paragraph" w:styleId="ListNumber2">
    <w:name w:val="List Number 2"/>
    <w:basedOn w:val="List2"/>
    <w:rsid w:val="00220DAC"/>
    <w:pPr>
      <w:numPr>
        <w:numId w:val="4"/>
      </w:numPr>
    </w:pPr>
  </w:style>
  <w:style w:type="paragraph" w:customStyle="1" w:styleId="MarginNote">
    <w:name w:val="Margin Note"/>
    <w:basedOn w:val="BodyText"/>
    <w:rsid w:val="00220DAC"/>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220DAC"/>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220DAC"/>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220DAC"/>
    <w:rPr>
      <w:sz w:val="32"/>
    </w:rPr>
  </w:style>
  <w:style w:type="paragraph" w:customStyle="1" w:styleId="HeadingProcedure">
    <w:name w:val="Heading Procedure"/>
    <w:basedOn w:val="HeadingBase"/>
    <w:next w:val="Normal"/>
    <w:rsid w:val="00220DAC"/>
    <w:pPr>
      <w:tabs>
        <w:tab w:val="left" w:pos="0"/>
      </w:tabs>
      <w:spacing w:before="120" w:after="60"/>
    </w:pPr>
    <w:rPr>
      <w:i/>
      <w:color w:val="918585"/>
      <w:sz w:val="22"/>
    </w:rPr>
  </w:style>
  <w:style w:type="paragraph" w:customStyle="1" w:styleId="TableBodyText">
    <w:name w:val="Table Body Text"/>
    <w:basedOn w:val="BodyText"/>
    <w:rsid w:val="00220DAC"/>
    <w:pPr>
      <w:spacing w:before="60" w:after="60"/>
    </w:pPr>
  </w:style>
  <w:style w:type="paragraph" w:customStyle="1" w:styleId="ListNote">
    <w:name w:val="List Note"/>
    <w:basedOn w:val="List"/>
    <w:rsid w:val="00220DAC"/>
    <w:pPr>
      <w:pBdr>
        <w:top w:val="single" w:sz="6" w:space="2" w:color="918585"/>
        <w:bottom w:val="single" w:sz="6" w:space="2" w:color="918585"/>
      </w:pBdr>
      <w:tabs>
        <w:tab w:val="left" w:pos="1021"/>
      </w:tabs>
      <w:ind w:firstLine="0"/>
    </w:pPr>
  </w:style>
  <w:style w:type="paragraph" w:customStyle="1" w:styleId="Warning">
    <w:name w:val="Warning"/>
    <w:basedOn w:val="BodyText"/>
    <w:rsid w:val="00220DAC"/>
    <w:pPr>
      <w:shd w:val="clear" w:color="auto" w:fill="D9D9D9"/>
      <w:tabs>
        <w:tab w:val="left" w:pos="992"/>
      </w:tabs>
      <w:ind w:left="119" w:right="119"/>
    </w:pPr>
    <w:rPr>
      <w:sz w:val="20"/>
    </w:rPr>
  </w:style>
  <w:style w:type="paragraph" w:customStyle="1" w:styleId="MarginIcons">
    <w:name w:val="Margin Icons"/>
    <w:basedOn w:val="BodyText"/>
    <w:rsid w:val="00220DAC"/>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220DAC"/>
    <w:rPr>
      <w:rFonts w:ascii="Courier New" w:hAnsi="Courier New"/>
    </w:rPr>
  </w:style>
  <w:style w:type="paragraph" w:customStyle="1" w:styleId="NoteBullet">
    <w:name w:val="Note Bullet"/>
    <w:basedOn w:val="Note"/>
    <w:rsid w:val="00220DAC"/>
    <w:pPr>
      <w:tabs>
        <w:tab w:val="clear" w:pos="680"/>
      </w:tabs>
      <w:spacing w:before="60" w:after="60"/>
    </w:pPr>
  </w:style>
  <w:style w:type="paragraph" w:customStyle="1" w:styleId="SubHeading2">
    <w:name w:val="SubHeading2"/>
    <w:basedOn w:val="HeadingBase"/>
    <w:rsid w:val="00220DAC"/>
    <w:pPr>
      <w:spacing w:before="240" w:after="60"/>
    </w:pPr>
    <w:rPr>
      <w:sz w:val="20"/>
    </w:rPr>
  </w:style>
  <w:style w:type="paragraph" w:customStyle="1" w:styleId="SubHeading1">
    <w:name w:val="SubHeading1"/>
    <w:basedOn w:val="HeadingBase"/>
    <w:rsid w:val="00220DAC"/>
    <w:pPr>
      <w:spacing w:before="240" w:after="60"/>
    </w:pPr>
    <w:rPr>
      <w:color w:val="918585"/>
      <w:sz w:val="22"/>
    </w:rPr>
  </w:style>
  <w:style w:type="paragraph" w:customStyle="1" w:styleId="SideHeading">
    <w:name w:val="Side Heading"/>
    <w:basedOn w:val="HeadingBase"/>
    <w:rsid w:val="00220DAC"/>
    <w:pPr>
      <w:framePr w:w="2268" w:h="567" w:hSpace="181" w:vSpace="181" w:wrap="around" w:vAnchor="text" w:hAnchor="page" w:x="1419" w:y="370" w:anchorLock="1"/>
    </w:pPr>
    <w:rPr>
      <w:sz w:val="22"/>
    </w:rPr>
  </w:style>
  <w:style w:type="paragraph" w:customStyle="1" w:styleId="TableListBullet">
    <w:name w:val="Table List Bullet"/>
    <w:basedOn w:val="ListBullet"/>
    <w:rsid w:val="00220DAC"/>
    <w:pPr>
      <w:numPr>
        <w:numId w:val="16"/>
      </w:numPr>
    </w:pPr>
  </w:style>
  <w:style w:type="paragraph" w:styleId="PlainText">
    <w:name w:val="Plain Text"/>
    <w:basedOn w:val="Normal"/>
    <w:link w:val="PlainTextChar"/>
    <w:rsid w:val="00220DAC"/>
    <w:rPr>
      <w:sz w:val="20"/>
    </w:rPr>
  </w:style>
  <w:style w:type="character" w:customStyle="1" w:styleId="PlainTextChar">
    <w:name w:val="Plain Text Char"/>
    <w:basedOn w:val="DefaultParagraphFont"/>
    <w:link w:val="PlainText"/>
    <w:rsid w:val="00220DAC"/>
    <w:rPr>
      <w:rFonts w:ascii="Courier New" w:eastAsia="Times New Roman" w:hAnsi="Courier New" w:cs="Times New Roman"/>
      <w:sz w:val="20"/>
      <w:szCs w:val="20"/>
      <w:lang w:eastAsia="en-US"/>
    </w:rPr>
  </w:style>
  <w:style w:type="character" w:customStyle="1" w:styleId="MenuOption">
    <w:name w:val="Menu Option"/>
    <w:basedOn w:val="DefaultParagraphFont"/>
    <w:rsid w:val="00220DAC"/>
    <w:rPr>
      <w:b/>
      <w:smallCaps/>
    </w:rPr>
  </w:style>
  <w:style w:type="paragraph" w:customStyle="1" w:styleId="TableListNumber">
    <w:name w:val="Table List Number"/>
    <w:basedOn w:val="ListNumber"/>
    <w:rsid w:val="00220DAC"/>
    <w:pPr>
      <w:numPr>
        <w:numId w:val="0"/>
      </w:numPr>
    </w:pPr>
  </w:style>
  <w:style w:type="paragraph" w:styleId="TOC4">
    <w:name w:val="toc 4"/>
    <w:basedOn w:val="TOCBase"/>
    <w:next w:val="Normal"/>
    <w:semiHidden/>
    <w:rsid w:val="00220DAC"/>
    <w:pPr>
      <w:tabs>
        <w:tab w:val="right" w:leader="dot" w:pos="9071"/>
      </w:tabs>
      <w:ind w:left="1701"/>
    </w:pPr>
  </w:style>
  <w:style w:type="paragraph" w:customStyle="1" w:styleId="ListAlpha2">
    <w:name w:val="List Alpha 2"/>
    <w:basedOn w:val="List2"/>
    <w:rsid w:val="00220DAC"/>
    <w:pPr>
      <w:numPr>
        <w:numId w:val="6"/>
      </w:numPr>
    </w:pPr>
  </w:style>
  <w:style w:type="paragraph" w:styleId="List3">
    <w:name w:val="List 3"/>
    <w:basedOn w:val="BodyText"/>
    <w:rsid w:val="00220DAC"/>
    <w:pPr>
      <w:tabs>
        <w:tab w:val="left" w:pos="1021"/>
      </w:tabs>
      <w:spacing w:before="60" w:after="60"/>
      <w:ind w:left="1020" w:hanging="340"/>
    </w:pPr>
  </w:style>
  <w:style w:type="paragraph" w:styleId="List4">
    <w:name w:val="List 4"/>
    <w:basedOn w:val="BodyText"/>
    <w:rsid w:val="00220DAC"/>
    <w:pPr>
      <w:tabs>
        <w:tab w:val="left" w:pos="1361"/>
      </w:tabs>
      <w:spacing w:before="60" w:after="60"/>
      <w:ind w:left="1361" w:hanging="340"/>
    </w:pPr>
  </w:style>
  <w:style w:type="paragraph" w:styleId="List5">
    <w:name w:val="List 5"/>
    <w:basedOn w:val="BodyText"/>
    <w:rsid w:val="00220DAC"/>
    <w:pPr>
      <w:tabs>
        <w:tab w:val="left" w:pos="1701"/>
      </w:tabs>
      <w:spacing w:before="60" w:after="60"/>
      <w:ind w:left="1701" w:hanging="340"/>
    </w:pPr>
  </w:style>
  <w:style w:type="paragraph" w:styleId="ListBullet4">
    <w:name w:val="List Bullet 4"/>
    <w:basedOn w:val="List4"/>
    <w:rsid w:val="00220DAC"/>
    <w:pPr>
      <w:numPr>
        <w:numId w:val="10"/>
      </w:numPr>
    </w:pPr>
  </w:style>
  <w:style w:type="paragraph" w:styleId="ListBullet5">
    <w:name w:val="List Bullet 5"/>
    <w:basedOn w:val="List5"/>
    <w:rsid w:val="00220DAC"/>
    <w:pPr>
      <w:numPr>
        <w:numId w:val="11"/>
      </w:numPr>
    </w:pPr>
  </w:style>
  <w:style w:type="paragraph" w:styleId="ListContinue2">
    <w:name w:val="List Continue 2"/>
    <w:basedOn w:val="List2"/>
    <w:rsid w:val="00220DAC"/>
    <w:pPr>
      <w:ind w:firstLine="0"/>
    </w:pPr>
  </w:style>
  <w:style w:type="paragraph" w:styleId="ListContinue3">
    <w:name w:val="List Continue 3"/>
    <w:basedOn w:val="List3"/>
    <w:rsid w:val="00220DAC"/>
    <w:pPr>
      <w:ind w:left="1021" w:firstLine="0"/>
    </w:pPr>
  </w:style>
  <w:style w:type="paragraph" w:styleId="ListContinue4">
    <w:name w:val="List Continue 4"/>
    <w:basedOn w:val="List4"/>
    <w:rsid w:val="00220DAC"/>
    <w:pPr>
      <w:ind w:firstLine="0"/>
    </w:pPr>
  </w:style>
  <w:style w:type="paragraph" w:styleId="ListContinue5">
    <w:name w:val="List Continue 5"/>
    <w:basedOn w:val="List5"/>
    <w:rsid w:val="00220DAC"/>
    <w:pPr>
      <w:ind w:firstLine="0"/>
    </w:pPr>
  </w:style>
  <w:style w:type="paragraph" w:styleId="ListNumber3">
    <w:name w:val="List Number 3"/>
    <w:basedOn w:val="List3"/>
    <w:rsid w:val="00220DAC"/>
    <w:pPr>
      <w:numPr>
        <w:numId w:val="13"/>
      </w:numPr>
    </w:pPr>
  </w:style>
  <w:style w:type="paragraph" w:styleId="ListNumber4">
    <w:name w:val="List Number 4"/>
    <w:basedOn w:val="List4"/>
    <w:rsid w:val="00220DAC"/>
    <w:pPr>
      <w:numPr>
        <w:numId w:val="14"/>
      </w:numPr>
      <w:tabs>
        <w:tab w:val="clear" w:pos="1440"/>
        <w:tab w:val="num" w:pos="360"/>
      </w:tabs>
      <w:ind w:left="1361" w:hanging="340"/>
    </w:pPr>
  </w:style>
  <w:style w:type="paragraph" w:styleId="ListNumber5">
    <w:name w:val="List Number 5"/>
    <w:basedOn w:val="List5"/>
    <w:rsid w:val="00220DAC"/>
    <w:pPr>
      <w:numPr>
        <w:numId w:val="15"/>
      </w:numPr>
    </w:pPr>
  </w:style>
  <w:style w:type="paragraph" w:styleId="BlockText">
    <w:name w:val="Block Text"/>
    <w:basedOn w:val="Normal"/>
    <w:rsid w:val="00220DAC"/>
    <w:pPr>
      <w:spacing w:after="120"/>
      <w:ind w:left="1440" w:right="1440"/>
    </w:pPr>
  </w:style>
  <w:style w:type="character" w:customStyle="1" w:styleId="Subscript">
    <w:name w:val="Subscript"/>
    <w:basedOn w:val="DefaultParagraphFont"/>
    <w:rsid w:val="00220DAC"/>
    <w:rPr>
      <w:sz w:val="16"/>
      <w:vertAlign w:val="subscript"/>
    </w:rPr>
  </w:style>
  <w:style w:type="character" w:customStyle="1" w:styleId="Superscript">
    <w:name w:val="Superscript"/>
    <w:basedOn w:val="DefaultParagraphFont"/>
    <w:rsid w:val="00220DAC"/>
    <w:rPr>
      <w:sz w:val="16"/>
      <w:vertAlign w:val="superscript"/>
    </w:rPr>
  </w:style>
  <w:style w:type="character" w:customStyle="1" w:styleId="Symbols">
    <w:name w:val="Symbols"/>
    <w:basedOn w:val="DefaultParagraphFont"/>
    <w:rsid w:val="00220DAC"/>
    <w:rPr>
      <w:rFonts w:ascii="Symbol" w:hAnsi="Symbol"/>
    </w:rPr>
  </w:style>
  <w:style w:type="character" w:customStyle="1" w:styleId="MenuOptions">
    <w:name w:val="Menu Options"/>
    <w:basedOn w:val="DefaultParagraphFont"/>
    <w:rsid w:val="00220DAC"/>
    <w:rPr>
      <w:rFonts w:ascii="Arial Narrow" w:hAnsi="Arial Narrow"/>
      <w:smallCaps/>
    </w:rPr>
  </w:style>
  <w:style w:type="character" w:customStyle="1" w:styleId="Buttons">
    <w:name w:val="Buttons"/>
    <w:basedOn w:val="DefaultParagraphFont"/>
    <w:rsid w:val="00220DAC"/>
    <w:rPr>
      <w:b/>
    </w:rPr>
  </w:style>
  <w:style w:type="character" w:customStyle="1" w:styleId="Underlined">
    <w:name w:val="Underlined"/>
    <w:basedOn w:val="DefaultParagraphFont"/>
    <w:rsid w:val="00220DAC"/>
    <w:rPr>
      <w:u w:val="single"/>
    </w:rPr>
  </w:style>
  <w:style w:type="paragraph" w:customStyle="1" w:styleId="TableBodyTextRight">
    <w:name w:val="Table Body Text Right"/>
    <w:basedOn w:val="TableBodyText"/>
    <w:rsid w:val="00220DAC"/>
    <w:pPr>
      <w:widowControl w:val="0"/>
      <w:autoSpaceDE w:val="0"/>
      <w:autoSpaceDN w:val="0"/>
      <w:adjustRightInd w:val="0"/>
      <w:jc w:val="right"/>
    </w:pPr>
    <w:rPr>
      <w:rFonts w:cs="Arial"/>
      <w:szCs w:val="18"/>
    </w:rPr>
  </w:style>
  <w:style w:type="paragraph" w:customStyle="1" w:styleId="CopyrightText">
    <w:name w:val="Copyright Text"/>
    <w:basedOn w:val="BodyText"/>
    <w:rsid w:val="00220DAC"/>
    <w:rPr>
      <w:sz w:val="18"/>
    </w:rPr>
  </w:style>
  <w:style w:type="paragraph" w:customStyle="1" w:styleId="BodySmallRight">
    <w:name w:val="Body Small Right"/>
    <w:basedOn w:val="BodyTextRight"/>
    <w:rsid w:val="00220DAC"/>
    <w:rPr>
      <w:sz w:val="18"/>
      <w:szCs w:val="18"/>
    </w:rPr>
  </w:style>
  <w:style w:type="paragraph" w:customStyle="1" w:styleId="MarginEdition">
    <w:name w:val="Margin Edition"/>
    <w:basedOn w:val="MarginNote"/>
    <w:rsid w:val="00220DAC"/>
    <w:pPr>
      <w:spacing w:before="0" w:after="0"/>
    </w:pPr>
    <w:rPr>
      <w:rFonts w:ascii="Times New Roman" w:hAnsi="Times New Roman"/>
      <w:color w:val="999999"/>
    </w:rPr>
  </w:style>
  <w:style w:type="paragraph" w:customStyle="1" w:styleId="Spacer">
    <w:name w:val="Spacer"/>
    <w:basedOn w:val="Normal"/>
    <w:rsid w:val="00220DAC"/>
    <w:rPr>
      <w:sz w:val="2"/>
      <w:szCs w:val="2"/>
    </w:rPr>
  </w:style>
  <w:style w:type="character" w:customStyle="1" w:styleId="Small">
    <w:name w:val="Small"/>
    <w:basedOn w:val="DefaultParagraphFont"/>
    <w:rsid w:val="00220DAC"/>
    <w:rPr>
      <w:sz w:val="16"/>
    </w:rPr>
  </w:style>
  <w:style w:type="paragraph" w:customStyle="1" w:styleId="WideTable">
    <w:name w:val="Wide Table"/>
    <w:basedOn w:val="Normal"/>
    <w:rsid w:val="00220DAC"/>
    <w:pPr>
      <w:ind w:left="-1418"/>
    </w:pPr>
    <w:rPr>
      <w:sz w:val="2"/>
      <w:szCs w:val="2"/>
    </w:rPr>
  </w:style>
  <w:style w:type="character" w:styleId="PageNumber">
    <w:name w:val="page number"/>
    <w:basedOn w:val="DefaultParagraphFont"/>
    <w:rsid w:val="00220DAC"/>
  </w:style>
  <w:style w:type="paragraph" w:styleId="Quote">
    <w:name w:val="Quote"/>
    <w:basedOn w:val="Heading1"/>
    <w:link w:val="QuoteChar"/>
    <w:qFormat/>
    <w:rsid w:val="00220DAC"/>
    <w:rPr>
      <w:b w:val="0"/>
      <w:sz w:val="72"/>
      <w:szCs w:val="72"/>
      <w:lang w:val="en-NZ"/>
    </w:rPr>
  </w:style>
  <w:style w:type="character" w:customStyle="1" w:styleId="QuoteChar">
    <w:name w:val="Quote Char"/>
    <w:basedOn w:val="DefaultParagraphFont"/>
    <w:link w:val="Quote"/>
    <w:rsid w:val="00220DAC"/>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220DAC"/>
    <w:pPr>
      <w:pageBreakBefore/>
    </w:pPr>
  </w:style>
  <w:style w:type="paragraph" w:customStyle="1" w:styleId="Border">
    <w:name w:val="Border"/>
    <w:basedOn w:val="Normal"/>
    <w:qFormat/>
    <w:rsid w:val="00220DAC"/>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220DAC"/>
    <w:rPr>
      <w:b/>
      <w:bCs/>
      <w:i/>
      <w:iCs/>
      <w:color w:val="auto"/>
    </w:rPr>
  </w:style>
  <w:style w:type="paragraph" w:styleId="IntenseQuote">
    <w:name w:val="Intense Quote"/>
    <w:basedOn w:val="Normal"/>
    <w:next w:val="Normal"/>
    <w:link w:val="IntenseQuoteChar"/>
    <w:uiPriority w:val="30"/>
    <w:qFormat/>
    <w:rsid w:val="00220DAC"/>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220DAC"/>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220DAC"/>
    <w:rPr>
      <w:smallCaps/>
      <w:color w:val="auto"/>
      <w:u w:val="single"/>
    </w:rPr>
  </w:style>
  <w:style w:type="character" w:styleId="IntenseReference">
    <w:name w:val="Intense Reference"/>
    <w:basedOn w:val="DefaultParagraphFont"/>
    <w:uiPriority w:val="32"/>
    <w:qFormat/>
    <w:rsid w:val="00220DAC"/>
    <w:rPr>
      <w:b/>
      <w:bCs/>
      <w:smallCaps/>
      <w:color w:val="auto"/>
      <w:spacing w:val="5"/>
      <w:u w:val="single"/>
    </w:rPr>
  </w:style>
  <w:style w:type="paragraph" w:customStyle="1" w:styleId="2ColumnHeading">
    <w:name w:val="2Column Heading"/>
    <w:basedOn w:val="BodyText"/>
    <w:qFormat/>
    <w:rsid w:val="00220DAC"/>
    <w:pPr>
      <w:spacing w:after="60"/>
      <w:ind w:left="-2268"/>
    </w:pPr>
    <w:rPr>
      <w:b/>
    </w:rPr>
  </w:style>
  <w:style w:type="paragraph" w:customStyle="1" w:styleId="Heading1TOC">
    <w:name w:val="Heading1 TOC"/>
    <w:basedOn w:val="Normal"/>
    <w:qFormat/>
    <w:rsid w:val="00220DAC"/>
    <w:pPr>
      <w:spacing w:before="240" w:after="120"/>
    </w:pPr>
    <w:rPr>
      <w:rFonts w:ascii="Times New Roman" w:hAnsi="Times New Roman"/>
      <w:b/>
      <w:sz w:val="32"/>
    </w:rPr>
  </w:style>
  <w:style w:type="paragraph" w:customStyle="1" w:styleId="Heading2TOC">
    <w:name w:val="Heading2 TOC"/>
    <w:basedOn w:val="Normal"/>
    <w:qFormat/>
    <w:rsid w:val="00220DAC"/>
    <w:pPr>
      <w:spacing w:before="240" w:after="60"/>
    </w:pPr>
    <w:rPr>
      <w:rFonts w:ascii="Times New Roman" w:hAnsi="Times New Roman"/>
      <w:b/>
      <w:sz w:val="28"/>
    </w:rPr>
  </w:style>
  <w:style w:type="character" w:customStyle="1" w:styleId="Underline">
    <w:name w:val="Underline"/>
    <w:basedOn w:val="DefaultParagraphFont"/>
    <w:qFormat/>
    <w:rsid w:val="00220DAC"/>
    <w:rPr>
      <w:u w:val="single"/>
    </w:rPr>
  </w:style>
  <w:style w:type="paragraph" w:styleId="BalloonText">
    <w:name w:val="Balloon Text"/>
    <w:basedOn w:val="Normal"/>
    <w:link w:val="BalloonTextChar"/>
    <w:rsid w:val="00220DAC"/>
    <w:rPr>
      <w:rFonts w:ascii="Tahoma" w:hAnsi="Tahoma" w:cs="Tahoma"/>
      <w:sz w:val="16"/>
      <w:szCs w:val="16"/>
    </w:rPr>
  </w:style>
  <w:style w:type="character" w:customStyle="1" w:styleId="BalloonTextChar">
    <w:name w:val="Balloon Text Char"/>
    <w:basedOn w:val="DefaultParagraphFont"/>
    <w:link w:val="BalloonText"/>
    <w:rsid w:val="00220DAC"/>
    <w:rPr>
      <w:rFonts w:ascii="Tahoma" w:eastAsia="Times New Roman" w:hAnsi="Tahoma" w:cs="Tahoma"/>
      <w:sz w:val="16"/>
      <w:szCs w:val="16"/>
      <w:lang w:eastAsia="en-US"/>
    </w:rPr>
  </w:style>
  <w:style w:type="paragraph" w:customStyle="1" w:styleId="StyleVersionBefore250pt">
    <w:name w:val="Style Version + Before:  250 pt"/>
    <w:basedOn w:val="Version"/>
    <w:rsid w:val="00220DAC"/>
    <w:rPr>
      <w:bCs/>
      <w:szCs w:val="20"/>
    </w:rPr>
  </w:style>
  <w:style w:type="character" w:customStyle="1" w:styleId="SpecialBold2">
    <w:name w:val="Special Bold 2"/>
    <w:basedOn w:val="SpecialBold"/>
    <w:uiPriority w:val="1"/>
    <w:qFormat/>
    <w:rsid w:val="00220DAC"/>
    <w:rPr>
      <w:b/>
      <w:color w:val="660033"/>
      <w:spacing w:val="0"/>
    </w:rPr>
  </w:style>
  <w:style w:type="paragraph" w:customStyle="1" w:styleId="Nameditemlist">
    <w:name w:val="Named item list"/>
    <w:basedOn w:val="BodyText"/>
    <w:qFormat/>
    <w:rsid w:val="00220DAC"/>
    <w:pPr>
      <w:keepNext w:val="0"/>
      <w:tabs>
        <w:tab w:val="left" w:pos="2835"/>
      </w:tabs>
      <w:ind w:left="2835" w:hanging="2835"/>
    </w:pPr>
  </w:style>
  <w:style w:type="paragraph" w:customStyle="1" w:styleId="SmallText">
    <w:name w:val="Small Text"/>
    <w:basedOn w:val="Normal"/>
    <w:qFormat/>
    <w:rsid w:val="00220DAC"/>
    <w:rPr>
      <w:rFonts w:ascii="Tahoma" w:hAnsi="Tahoma"/>
      <w:sz w:val="16"/>
    </w:rPr>
  </w:style>
  <w:style w:type="paragraph" w:customStyle="1" w:styleId="WhiteCentredHeading">
    <w:name w:val="White Centred Heading"/>
    <w:basedOn w:val="Heading1"/>
    <w:qFormat/>
    <w:rsid w:val="00220DAC"/>
    <w:pPr>
      <w:jc w:val="center"/>
    </w:pPr>
    <w:rPr>
      <w:color w:val="FFFFFF" w:themeColor="background1"/>
      <w:sz w:val="24"/>
    </w:rPr>
  </w:style>
  <w:style w:type="paragraph" w:customStyle="1" w:styleId="Style1">
    <w:name w:val="Style1"/>
    <w:basedOn w:val="SmallText"/>
    <w:qFormat/>
    <w:rsid w:val="00220DAC"/>
    <w:pPr>
      <w:spacing w:before="120" w:after="120"/>
      <w:contextualSpacing/>
    </w:pPr>
    <w:rPr>
      <w:szCs w:val="22"/>
    </w:rPr>
  </w:style>
  <w:style w:type="paragraph" w:styleId="BodyTextFirstIndent">
    <w:name w:val="Body Text First Indent"/>
    <w:basedOn w:val="BodyText"/>
    <w:link w:val="BodyTextFirstIndentChar"/>
    <w:rsid w:val="00220DAC"/>
    <w:pPr>
      <w:spacing w:before="0" w:after="0"/>
      <w:ind w:firstLine="360"/>
      <w:contextualSpacing w:val="0"/>
    </w:pPr>
    <w:rPr>
      <w:rFonts w:ascii="Courier New" w:hAnsi="Courier New"/>
    </w:rPr>
  </w:style>
  <w:style w:type="character" w:customStyle="1" w:styleId="BodyTextFirstIndentChar">
    <w:name w:val="Body Text First Indent Char"/>
    <w:basedOn w:val="BodyTextChar"/>
    <w:link w:val="BodyTextFirstIndent"/>
    <w:rsid w:val="00220DAC"/>
    <w:rPr>
      <w:rFonts w:ascii="Courier New" w:eastAsia="Times New Roman" w:hAnsi="Courier New" w:cs="Times New Roman"/>
      <w:sz w:val="24"/>
      <w:lang w:eastAsia="en-US"/>
    </w:rPr>
  </w:style>
  <w:style w:type="character" w:styleId="Hyperlink">
    <w:name w:val="Hyperlink"/>
    <w:basedOn w:val="DefaultParagraphFont"/>
    <w:uiPriority w:val="99"/>
    <w:unhideWhenUsed/>
    <w:rsid w:val="00BD4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15191</Words>
  <Characters>94296</Characters>
  <Application>Microsoft Office Word</Application>
  <DocSecurity>0</DocSecurity>
  <Lines>3035</Lines>
  <Paragraphs>1504</Paragraphs>
  <ScaleCrop>false</ScaleCrop>
  <Company>Author-it Software Corporation Ltd.</Company>
  <LinksUpToDate>false</LinksUpToDate>
  <CharactersWithSpaces>108510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FPP10 Pulp &amp; Paper Manufacturing Industry Training Package</dc:title>
  <dc:subject>Approved</dc:subject>
  <dc:creator>ForestWorks Learning and Skill Development</dc:creator>
  <cp:keywords>Release: 1.2</cp:keywords>
  <dc:description>Review Date: 12 April 2008</dc:description>
  <cp:lastModifiedBy>HSD_TPCMSd.prod</cp:lastModifiedBy>
  <cp:revision>3</cp:revision>
  <dcterms:created xsi:type="dcterms:W3CDTF">2014-07-25T03:55:00Z</dcterms:created>
  <dcterms:modified xsi:type="dcterms:W3CDTF">2014-07-25T03:55:00Z</dcterms:modified>
</cp:coreProperties>
</file>